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3FE4BAA0"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D74F7C">
        <w:rPr>
          <w:rFonts w:ascii="Arial" w:hAnsi="Arial" w:cs="Arial"/>
          <w:b/>
          <w:bCs/>
          <w:sz w:val="24"/>
          <w:szCs w:val="24"/>
        </w:rPr>
        <w:t>2</w:t>
      </w:r>
      <w:r>
        <w:tab/>
      </w:r>
      <w:r w:rsidR="003F62E8">
        <w:rPr>
          <w:rFonts w:ascii="Arial" w:hAnsi="Arial" w:cs="Arial"/>
          <w:b/>
          <w:bCs/>
          <w:color w:val="808080"/>
          <w:sz w:val="26"/>
          <w:szCs w:val="26"/>
        </w:rPr>
        <w:t>S2-24042</w:t>
      </w:r>
      <w:r w:rsidR="008B31C2">
        <w:rPr>
          <w:rFonts w:ascii="Arial" w:hAnsi="Arial" w:cs="Arial"/>
          <w:b/>
          <w:bCs/>
          <w:color w:val="808080"/>
          <w:sz w:val="26"/>
          <w:szCs w:val="26"/>
        </w:rPr>
        <w:t>37</w:t>
      </w:r>
    </w:p>
    <w:p w14:paraId="091FE08C" w14:textId="5478FBFE" w:rsidR="005D4E7D" w:rsidRDefault="00D74F7C" w:rsidP="005D4E7D">
      <w:pPr>
        <w:pBdr>
          <w:bottom w:val="single" w:sz="6" w:space="0" w:color="auto"/>
        </w:pBdr>
        <w:tabs>
          <w:tab w:val="right" w:pos="9638"/>
        </w:tabs>
        <w:rPr>
          <w:rFonts w:ascii="Arial" w:hAnsi="Arial" w:cs="Arial"/>
          <w:b/>
          <w:bCs/>
          <w:sz w:val="24"/>
        </w:rPr>
      </w:pPr>
      <w:r>
        <w:rPr>
          <w:rFonts w:ascii="Arial" w:hAnsi="Arial" w:cs="Arial"/>
          <w:b/>
          <w:bCs/>
          <w:sz w:val="24"/>
          <w:szCs w:val="24"/>
        </w:rPr>
        <w:t>Changsha</w:t>
      </w:r>
      <w:r w:rsidR="002A2AAF">
        <w:rPr>
          <w:rFonts w:ascii="Arial" w:hAnsi="Arial" w:cs="Arial"/>
          <w:b/>
          <w:bCs/>
          <w:sz w:val="24"/>
          <w:szCs w:val="24"/>
        </w:rPr>
        <w:t xml:space="preserve">, </w:t>
      </w:r>
      <w:r>
        <w:rPr>
          <w:rFonts w:ascii="Arial" w:hAnsi="Arial" w:cs="Arial"/>
          <w:b/>
          <w:bCs/>
          <w:sz w:val="24"/>
          <w:szCs w:val="24"/>
        </w:rPr>
        <w:t>China, April</w:t>
      </w:r>
      <w:r w:rsidR="005D4E7D" w:rsidRPr="00E9522F">
        <w:rPr>
          <w:rFonts w:ascii="Arial" w:hAnsi="Arial" w:cs="Arial"/>
          <w:b/>
          <w:bCs/>
          <w:sz w:val="24"/>
          <w:szCs w:val="24"/>
        </w:rPr>
        <w:t xml:space="preserve"> </w:t>
      </w:r>
      <w:r>
        <w:rPr>
          <w:rFonts w:ascii="Arial" w:hAnsi="Arial" w:cs="Arial"/>
          <w:b/>
          <w:bCs/>
          <w:sz w:val="24"/>
          <w:szCs w:val="24"/>
        </w:rPr>
        <w:t>15</w:t>
      </w:r>
      <w:r w:rsidRPr="00D74F7C">
        <w:rPr>
          <w:rFonts w:ascii="Arial" w:hAnsi="Arial" w:cs="Arial"/>
          <w:b/>
          <w:bCs/>
          <w:sz w:val="24"/>
          <w:szCs w:val="24"/>
          <w:vertAlign w:val="superscript"/>
        </w:rPr>
        <w:t>th</w:t>
      </w:r>
      <w:r>
        <w:rPr>
          <w:rFonts w:ascii="Arial" w:hAnsi="Arial" w:cs="Arial"/>
          <w:b/>
          <w:bCs/>
          <w:sz w:val="24"/>
          <w:szCs w:val="24"/>
        </w:rPr>
        <w:t>-19th</w:t>
      </w:r>
      <w:r w:rsidR="005D4E7D" w:rsidRPr="00E9522F">
        <w:rPr>
          <w:rFonts w:ascii="Arial" w:hAnsi="Arial" w:cs="Arial"/>
          <w:b/>
          <w:bCs/>
          <w:sz w:val="24"/>
          <w:szCs w:val="24"/>
        </w:rPr>
        <w:t>, 202</w:t>
      </w:r>
      <w:r w:rsidR="00846658">
        <w:rPr>
          <w:rFonts w:ascii="Arial" w:hAnsi="Arial" w:cs="Arial"/>
          <w:b/>
          <w:bCs/>
          <w:sz w:val="24"/>
          <w:szCs w:val="24"/>
        </w:rPr>
        <w:t>4</w:t>
      </w:r>
    </w:p>
    <w:p w14:paraId="26F5FD54" w14:textId="74AC475B"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7F69CCCA" w:rsidR="005D4E7D" w:rsidRPr="00F00A18" w:rsidRDefault="005D4E7D" w:rsidP="3B3D26B1">
      <w:pPr>
        <w:ind w:left="2127" w:hanging="2127"/>
        <w:rPr>
          <w:rFonts w:ascii="Arial" w:hAnsi="Arial" w:cs="Arial"/>
          <w:b/>
          <w:bCs/>
        </w:rPr>
      </w:pPr>
      <w:r w:rsidRPr="3B3D26B1">
        <w:rPr>
          <w:rFonts w:ascii="Arial" w:hAnsi="Arial" w:cs="Arial"/>
          <w:b/>
          <w:bCs/>
        </w:rPr>
        <w:t>Title:</w:t>
      </w:r>
      <w:r>
        <w:tab/>
      </w:r>
      <w:r w:rsidR="008B31C2">
        <w:rPr>
          <w:rFonts w:ascii="Arial" w:hAnsi="Arial" w:cs="Arial"/>
          <w:color w:val="000000"/>
          <w:sz w:val="18"/>
          <w:szCs w:val="18"/>
        </w:rPr>
        <w:t>EN related to alignment with RAN WG(s) for UEs using power saving functions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DBB9DF8"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3F62E8">
        <w:rPr>
          <w:rFonts w:ascii="Arial" w:hAnsi="Arial" w:cs="Arial"/>
          <w:b/>
        </w:rPr>
        <w:t>9.10.2</w:t>
      </w:r>
    </w:p>
    <w:p w14:paraId="141BA426" w14:textId="2398E366"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3F62E8">
        <w:rPr>
          <w:rFonts w:ascii="Arial" w:hAnsi="Arial" w:cs="Arial"/>
          <w:bCs/>
        </w:rPr>
        <w:t>5MBS_Ph2</w:t>
      </w:r>
      <w:r w:rsidR="003F62E8">
        <w:rPr>
          <w:rFonts w:ascii="Arial" w:hAnsi="Arial" w:cs="Arial"/>
          <w:b/>
        </w:rPr>
        <w:t xml:space="preserve"> </w:t>
      </w:r>
      <w:r>
        <w:rPr>
          <w:rFonts w:ascii="Arial" w:hAnsi="Arial" w:cs="Arial"/>
          <w:b/>
        </w:rPr>
        <w:t>/ Rel-19</w:t>
      </w:r>
    </w:p>
    <w:p w14:paraId="03750EDD" w14:textId="024DD7D5" w:rsidR="005D4E7D" w:rsidRDefault="005D4E7D" w:rsidP="005D4E7D">
      <w:pPr>
        <w:rPr>
          <w:rFonts w:ascii="Arial" w:hAnsi="Arial" w:cs="Arial"/>
          <w:i/>
        </w:rPr>
      </w:pPr>
      <w:r>
        <w:rPr>
          <w:rFonts w:ascii="Arial" w:hAnsi="Arial" w:cs="Arial"/>
          <w:i/>
        </w:rPr>
        <w:t xml:space="preserve">Abstract of the contribution: </w:t>
      </w:r>
      <w:r w:rsidR="008B31C2">
        <w:rPr>
          <w:rFonts w:ascii="Arial" w:hAnsi="Arial" w:cs="Arial"/>
          <w:color w:val="000000"/>
          <w:sz w:val="18"/>
          <w:szCs w:val="18"/>
        </w:rPr>
        <w:t>This discussion paper argues that an EN that was already removed due to a editorial mistake should remain removed</w:t>
      </w:r>
    </w:p>
    <w:p w14:paraId="3CC7EB95" w14:textId="0E28EC37" w:rsidR="005D4E7D" w:rsidRDefault="005D4E7D" w:rsidP="005D4E7D">
      <w:pPr>
        <w:pStyle w:val="Heading1"/>
      </w:pPr>
      <w:r>
        <w:t>Discussion</w:t>
      </w:r>
    </w:p>
    <w:p w14:paraId="0D09B38F" w14:textId="77777777" w:rsidR="00F520B0" w:rsidRDefault="00F520B0" w:rsidP="00F520B0"/>
    <w:p w14:paraId="28303A0A" w14:textId="41B71A61" w:rsidR="008F55C9" w:rsidRPr="008F55C9" w:rsidRDefault="008F55C9" w:rsidP="00F520B0">
      <w:pPr>
        <w:rPr>
          <w:b/>
          <w:bCs/>
          <w:sz w:val="28"/>
          <w:szCs w:val="28"/>
          <w:u w:val="single"/>
        </w:rPr>
      </w:pPr>
      <w:r w:rsidRPr="008F55C9">
        <w:rPr>
          <w:b/>
          <w:bCs/>
          <w:sz w:val="28"/>
          <w:szCs w:val="28"/>
          <w:u w:val="single"/>
        </w:rPr>
        <w:t>Status of EN</w:t>
      </w:r>
    </w:p>
    <w:p w14:paraId="187808FD" w14:textId="1D026F0F" w:rsidR="00381D3F" w:rsidRDefault="00381D3F" w:rsidP="00F520B0">
      <w:r>
        <w:t>TS 23.247v18.4.0 contained the following:</w:t>
      </w:r>
    </w:p>
    <w:p w14:paraId="1BC0CAF4" w14:textId="77777777" w:rsidR="00381D3F" w:rsidRPr="00381D3F" w:rsidRDefault="00381D3F" w:rsidP="00381D3F">
      <w:pPr>
        <w:keepNext/>
        <w:keepLines/>
        <w:spacing w:before="120"/>
        <w:ind w:left="1417" w:hanging="1134"/>
        <w:outlineLvl w:val="2"/>
        <w:rPr>
          <w:rFonts w:ascii="Arial" w:eastAsia="DengXian" w:hAnsi="Arial"/>
          <w:i/>
          <w:iCs/>
          <w:sz w:val="28"/>
        </w:rPr>
      </w:pPr>
      <w:bookmarkStart w:id="2" w:name="_Toc153792171"/>
      <w:r w:rsidRPr="00381D3F">
        <w:rPr>
          <w:rFonts w:ascii="Arial" w:eastAsia="DengXian" w:hAnsi="Arial"/>
          <w:i/>
          <w:iCs/>
          <w:sz w:val="28"/>
        </w:rPr>
        <w:t>7.2.10</w:t>
      </w:r>
      <w:r w:rsidRPr="00381D3F">
        <w:rPr>
          <w:rFonts w:ascii="Arial" w:eastAsia="DengXian" w:hAnsi="Arial"/>
          <w:i/>
          <w:iCs/>
          <w:sz w:val="28"/>
        </w:rPr>
        <w:tab/>
        <w:t>Multicast MBS procedures for UEs using power saving functions</w:t>
      </w:r>
      <w:bookmarkEnd w:id="2"/>
    </w:p>
    <w:p w14:paraId="4E36B8A0" w14:textId="77777777" w:rsidR="00381D3F" w:rsidRPr="00381D3F" w:rsidRDefault="00381D3F" w:rsidP="00381D3F">
      <w:pPr>
        <w:keepLines/>
        <w:overflowPunct w:val="0"/>
        <w:autoSpaceDE w:val="0"/>
        <w:autoSpaceDN w:val="0"/>
        <w:adjustRightInd w:val="0"/>
        <w:ind w:left="1842" w:hanging="1276"/>
        <w:textAlignment w:val="baseline"/>
        <w:rPr>
          <w:rFonts w:eastAsia="Times New Roman"/>
          <w:i/>
          <w:iCs/>
          <w:color w:val="FF0000"/>
          <w:lang w:eastAsia="en-GB"/>
        </w:rPr>
      </w:pPr>
      <w:r w:rsidRPr="00381D3F">
        <w:rPr>
          <w:rFonts w:eastAsia="Times New Roman"/>
          <w:i/>
          <w:iCs/>
          <w:color w:val="FF0000"/>
          <w:lang w:eastAsia="en-GB"/>
        </w:rPr>
        <w:t>Editor's note:</w:t>
      </w:r>
      <w:r w:rsidRPr="00381D3F">
        <w:rPr>
          <w:rFonts w:eastAsia="Times New Roman"/>
          <w:i/>
          <w:iCs/>
          <w:color w:val="FF0000"/>
          <w:lang w:eastAsia="en-GB"/>
        </w:rPr>
        <w:tab/>
        <w:t>Alignment may be needed with RAN WG(s).</w:t>
      </w:r>
    </w:p>
    <w:p w14:paraId="2DD8F0BA" w14:textId="77777777" w:rsidR="00381D3F" w:rsidRDefault="00381D3F" w:rsidP="00F520B0"/>
    <w:p w14:paraId="104457B6" w14:textId="4B5191F1" w:rsidR="00381D3F" w:rsidRDefault="00381D3F" w:rsidP="00F520B0">
      <w:r>
        <w:t xml:space="preserve">This EN </w:t>
      </w:r>
      <w:r w:rsidR="00907457">
        <w:t xml:space="preserve">is no longer contained in TS 23.247v18.5.0 as it </w:t>
      </w:r>
      <w:r>
        <w:t>was removed at SA2#160AHE due to an editorial mistake when providing the clean version of an agreed CR. From the chair´s notes:</w:t>
      </w:r>
    </w:p>
    <w:p w14:paraId="6C8CC5E5" w14:textId="77777777" w:rsidR="00381D3F" w:rsidRDefault="00381D3F" w:rsidP="00F520B0"/>
    <w:tbl>
      <w:tblPr>
        <w:tblpPr w:leftFromText="180" w:rightFromText="180" w:vertAnchor="text" w:tblpY="1"/>
        <w:tblOverlap w:val="never"/>
        <w:tblW w:w="977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75"/>
        <w:gridCol w:w="958"/>
        <w:gridCol w:w="402"/>
        <w:gridCol w:w="425"/>
        <w:gridCol w:w="2835"/>
        <w:gridCol w:w="426"/>
        <w:gridCol w:w="567"/>
        <w:gridCol w:w="141"/>
        <w:gridCol w:w="2552"/>
        <w:gridCol w:w="992"/>
      </w:tblGrid>
      <w:tr w:rsidR="00381D3F" w:rsidRPr="00440BF2" w14:paraId="1EFBD3AF" w14:textId="77777777" w:rsidTr="00381D3F">
        <w:tc>
          <w:tcPr>
            <w:tcW w:w="475" w:type="dxa"/>
            <w:tcBorders>
              <w:top w:val="outset" w:sz="6" w:space="0" w:color="000000"/>
              <w:left w:val="outset" w:sz="6" w:space="0" w:color="000000"/>
              <w:bottom w:val="outset" w:sz="6" w:space="0" w:color="000000"/>
              <w:right w:val="outset" w:sz="6" w:space="0" w:color="000000"/>
            </w:tcBorders>
            <w:shd w:val="clear" w:color="auto" w:fill="FFCC99"/>
            <w:hideMark/>
          </w:tcPr>
          <w:p w14:paraId="37B27F1C" w14:textId="77777777" w:rsidR="00381D3F" w:rsidRPr="00440BF2" w:rsidRDefault="00381D3F" w:rsidP="00857E44">
            <w:pPr>
              <w:rPr>
                <w:rFonts w:eastAsia="Times New Roman" w:cs="Arial"/>
                <w:sz w:val="16"/>
              </w:rPr>
            </w:pPr>
            <w:r w:rsidRPr="00440BF2">
              <w:rPr>
                <w:rFonts w:eastAsia="Times New Roman" w:cs="Arial"/>
                <w:sz w:val="16"/>
                <w:szCs w:val="16"/>
              </w:rPr>
              <w:t>9.10.2</w:t>
            </w:r>
          </w:p>
        </w:tc>
        <w:tc>
          <w:tcPr>
            <w:tcW w:w="958" w:type="dxa"/>
            <w:tcBorders>
              <w:top w:val="outset" w:sz="6" w:space="0" w:color="000000"/>
              <w:left w:val="outset" w:sz="6" w:space="0" w:color="000000"/>
              <w:bottom w:val="outset" w:sz="6" w:space="0" w:color="000000"/>
              <w:right w:val="outset" w:sz="6" w:space="0" w:color="000000"/>
            </w:tcBorders>
            <w:shd w:val="clear" w:color="auto" w:fill="FFCC99"/>
            <w:hideMark/>
          </w:tcPr>
          <w:p w14:paraId="55C31A68" w14:textId="77777777" w:rsidR="00381D3F" w:rsidRPr="00440BF2" w:rsidRDefault="00A337D7" w:rsidP="00857E44">
            <w:pPr>
              <w:rPr>
                <w:rFonts w:eastAsia="Times New Roman" w:cs="Arial"/>
                <w:sz w:val="16"/>
              </w:rPr>
            </w:pPr>
            <w:hyperlink r:id="rId13" w:history="1">
              <w:r w:rsidR="00381D3F">
                <w:rPr>
                  <w:rStyle w:val="Hyperlink"/>
                  <w:rFonts w:eastAsia="Times New Roman" w:cs="Arial"/>
                  <w:bCs/>
                  <w:sz w:val="16"/>
                  <w:szCs w:val="16"/>
                </w:rPr>
                <w:t>S2-2400841</w:t>
              </w:r>
            </w:hyperlink>
          </w:p>
        </w:tc>
        <w:tc>
          <w:tcPr>
            <w:tcW w:w="402" w:type="dxa"/>
            <w:tcBorders>
              <w:top w:val="outset" w:sz="6" w:space="0" w:color="000000"/>
              <w:left w:val="outset" w:sz="6" w:space="0" w:color="000000"/>
              <w:bottom w:val="outset" w:sz="6" w:space="0" w:color="000000"/>
              <w:right w:val="outset" w:sz="6" w:space="0" w:color="000000"/>
            </w:tcBorders>
            <w:shd w:val="clear" w:color="auto" w:fill="FFCC99"/>
            <w:hideMark/>
          </w:tcPr>
          <w:p w14:paraId="38D8DB54" w14:textId="77777777" w:rsidR="00381D3F" w:rsidRPr="00F736F0" w:rsidRDefault="00381D3F" w:rsidP="00857E44">
            <w:pPr>
              <w:rPr>
                <w:rFonts w:eastAsia="Times New Roman" w:cs="Arial"/>
                <w:sz w:val="16"/>
              </w:rPr>
            </w:pPr>
            <w:r w:rsidRPr="00F736F0">
              <w:rPr>
                <w:rFonts w:eastAsia="Times New Roman" w:cs="Arial"/>
                <w:sz w:val="16"/>
                <w:szCs w:val="16"/>
              </w:rPr>
              <w:t>CR</w:t>
            </w:r>
          </w:p>
        </w:tc>
        <w:tc>
          <w:tcPr>
            <w:tcW w:w="425" w:type="dxa"/>
            <w:tcBorders>
              <w:top w:val="outset" w:sz="6" w:space="0" w:color="000000"/>
              <w:left w:val="outset" w:sz="6" w:space="0" w:color="000000"/>
              <w:bottom w:val="outset" w:sz="6" w:space="0" w:color="000000"/>
              <w:right w:val="outset" w:sz="6" w:space="0" w:color="000000"/>
            </w:tcBorders>
            <w:shd w:val="clear" w:color="auto" w:fill="FFCC99"/>
            <w:hideMark/>
          </w:tcPr>
          <w:p w14:paraId="7262ED4B" w14:textId="77777777" w:rsidR="00381D3F" w:rsidRPr="00440BF2" w:rsidRDefault="00381D3F" w:rsidP="00857E44">
            <w:pPr>
              <w:rPr>
                <w:rFonts w:eastAsia="Times New Roman" w:cs="Arial"/>
                <w:sz w:val="16"/>
              </w:rPr>
            </w:pPr>
            <w:r w:rsidRPr="00440BF2">
              <w:rPr>
                <w:rFonts w:eastAsia="Times New Roman" w:cs="Arial"/>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FFCC99"/>
            <w:hideMark/>
          </w:tcPr>
          <w:p w14:paraId="583656E6" w14:textId="77777777" w:rsidR="00381D3F" w:rsidRPr="00440BF2" w:rsidRDefault="00381D3F" w:rsidP="00857E44">
            <w:pPr>
              <w:rPr>
                <w:rFonts w:eastAsia="Times New Roman" w:cs="Arial"/>
                <w:sz w:val="16"/>
              </w:rPr>
            </w:pPr>
            <w:r w:rsidRPr="00440BF2">
              <w:rPr>
                <w:rFonts w:eastAsia="Times New Roman" w:cs="Arial"/>
                <w:sz w:val="16"/>
                <w:szCs w:val="16"/>
              </w:rPr>
              <w:t>23.247 CR0352 (Rel-18, 'F'): Clarification on the Multicast MBS procedures for UEs using power saving functions</w:t>
            </w:r>
          </w:p>
        </w:tc>
        <w:tc>
          <w:tcPr>
            <w:tcW w:w="426" w:type="dxa"/>
            <w:tcBorders>
              <w:top w:val="outset" w:sz="6" w:space="0" w:color="000000"/>
              <w:left w:val="outset" w:sz="6" w:space="0" w:color="000000"/>
              <w:bottom w:val="outset" w:sz="6" w:space="0" w:color="000000"/>
              <w:right w:val="outset" w:sz="6" w:space="0" w:color="000000"/>
            </w:tcBorders>
            <w:shd w:val="clear" w:color="auto" w:fill="FFCC99"/>
            <w:hideMark/>
          </w:tcPr>
          <w:p w14:paraId="37B08AC0" w14:textId="77777777" w:rsidR="00381D3F" w:rsidRPr="00440BF2" w:rsidRDefault="00381D3F" w:rsidP="00857E44">
            <w:pPr>
              <w:rPr>
                <w:rFonts w:eastAsia="Times New Roman" w:cs="Arial"/>
                <w:sz w:val="16"/>
              </w:rPr>
            </w:pPr>
            <w:r w:rsidRPr="00440BF2">
              <w:rPr>
                <w:rFonts w:eastAsia="Times New Roman" w:cs="Arial"/>
                <w:sz w:val="16"/>
                <w:szCs w:val="16"/>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FFCC99"/>
            <w:hideMark/>
          </w:tcPr>
          <w:p w14:paraId="0AC7AF63" w14:textId="77777777" w:rsidR="00381D3F" w:rsidRPr="00440BF2" w:rsidRDefault="00381D3F" w:rsidP="00857E44">
            <w:pPr>
              <w:rPr>
                <w:rFonts w:eastAsia="Times New Roman" w:cs="Arial"/>
                <w:sz w:val="16"/>
              </w:rPr>
            </w:pPr>
            <w:r w:rsidRPr="00440BF2">
              <w:rPr>
                <w:rFonts w:eastAsia="Times New Roman" w:cs="Arial"/>
                <w:sz w:val="16"/>
                <w:szCs w:val="16"/>
              </w:rPr>
              <w:t>Rel-18</w:t>
            </w:r>
          </w:p>
        </w:tc>
        <w:tc>
          <w:tcPr>
            <w:tcW w:w="141" w:type="dxa"/>
            <w:tcBorders>
              <w:top w:val="outset" w:sz="6" w:space="0" w:color="000000"/>
              <w:left w:val="outset" w:sz="6" w:space="0" w:color="000000"/>
              <w:bottom w:val="outset" w:sz="6" w:space="0" w:color="000000"/>
              <w:right w:val="outset" w:sz="6" w:space="0" w:color="000000"/>
            </w:tcBorders>
            <w:shd w:val="clear" w:color="auto" w:fill="FFCC99"/>
            <w:hideMark/>
          </w:tcPr>
          <w:p w14:paraId="29A00EF5" w14:textId="77777777" w:rsidR="00381D3F" w:rsidRPr="00440BF2" w:rsidRDefault="00381D3F" w:rsidP="00857E44">
            <w:pPr>
              <w:rPr>
                <w:rFonts w:eastAsia="Times New Roman" w:cs="Arial"/>
                <w:sz w:val="16"/>
              </w:rPr>
            </w:pPr>
          </w:p>
        </w:tc>
        <w:tc>
          <w:tcPr>
            <w:tcW w:w="2552" w:type="dxa"/>
            <w:tcBorders>
              <w:top w:val="outset" w:sz="6" w:space="0" w:color="000000"/>
              <w:left w:val="outset" w:sz="6" w:space="0" w:color="000000"/>
              <w:bottom w:val="outset" w:sz="6" w:space="0" w:color="000000"/>
              <w:right w:val="outset" w:sz="6" w:space="0" w:color="000000"/>
            </w:tcBorders>
            <w:shd w:val="clear" w:color="auto" w:fill="FFCC99"/>
            <w:hideMark/>
          </w:tcPr>
          <w:p w14:paraId="7C6A83FF" w14:textId="77777777" w:rsidR="00381D3F" w:rsidRPr="00C43837" w:rsidRDefault="00381D3F" w:rsidP="00857E44">
            <w:pPr>
              <w:rPr>
                <w:rFonts w:eastAsia="Times New Roman" w:cs="Arial"/>
                <w:sz w:val="16"/>
              </w:rPr>
            </w:pPr>
            <w:r w:rsidRPr="00C43837">
              <w:rPr>
                <w:rFonts w:eastAsia="Times New Roman" w:cs="Arial"/>
                <w:sz w:val="16"/>
              </w:rPr>
              <w:t>Robbie (Ericsson) provides r01.</w:t>
            </w:r>
          </w:p>
          <w:p w14:paraId="1D56DA48" w14:textId="77777777" w:rsidR="00381D3F" w:rsidRPr="00C43837" w:rsidRDefault="00381D3F" w:rsidP="00857E44">
            <w:pPr>
              <w:rPr>
                <w:rFonts w:eastAsia="Times New Roman" w:cs="Arial"/>
                <w:sz w:val="16"/>
              </w:rPr>
            </w:pPr>
            <w:r w:rsidRPr="00C43837">
              <w:rPr>
                <w:rFonts w:eastAsia="Times New Roman" w:cs="Arial"/>
                <w:sz w:val="16"/>
              </w:rPr>
              <w:t>zhendong (ZTE) provides response</w:t>
            </w:r>
          </w:p>
          <w:p w14:paraId="2800AD63" w14:textId="77777777" w:rsidR="00381D3F" w:rsidRDefault="00381D3F" w:rsidP="00857E44">
            <w:pPr>
              <w:rPr>
                <w:rFonts w:eastAsia="Times New Roman" w:cs="Arial"/>
                <w:sz w:val="16"/>
              </w:rPr>
            </w:pPr>
            <w:r w:rsidRPr="00C43837">
              <w:rPr>
                <w:rFonts w:eastAsia="Times New Roman" w:cs="Arial"/>
                <w:sz w:val="16"/>
              </w:rPr>
              <w:t>== Revisions Deadline ==</w:t>
            </w:r>
          </w:p>
          <w:p w14:paraId="3D086F67" w14:textId="77777777" w:rsidR="00381D3F" w:rsidRPr="00C43837" w:rsidRDefault="00381D3F" w:rsidP="00857E44">
            <w:pPr>
              <w:rPr>
                <w:rFonts w:eastAsia="Times New Roman" w:cs="Arial"/>
                <w:sz w:val="16"/>
              </w:rPr>
            </w:pPr>
            <w:r>
              <w:rPr>
                <w:rFonts w:eastAsia="Times New Roman" w:cs="Arial"/>
                <w:sz w:val="16"/>
              </w:rPr>
              <w:t>== Comments Deadline ==</w:t>
            </w:r>
          </w:p>
        </w:tc>
        <w:tc>
          <w:tcPr>
            <w:tcW w:w="992" w:type="dxa"/>
            <w:tcBorders>
              <w:top w:val="outset" w:sz="6" w:space="0" w:color="000000"/>
              <w:left w:val="outset" w:sz="6" w:space="0" w:color="000000"/>
              <w:bottom w:val="outset" w:sz="6" w:space="0" w:color="000000"/>
              <w:right w:val="outset" w:sz="6" w:space="0" w:color="000000"/>
            </w:tcBorders>
            <w:shd w:val="clear" w:color="auto" w:fill="FFCC99"/>
          </w:tcPr>
          <w:p w14:paraId="07A6A45A" w14:textId="77777777" w:rsidR="00381D3F" w:rsidRPr="00440BF2" w:rsidRDefault="00381D3F" w:rsidP="00857E44">
            <w:pPr>
              <w:rPr>
                <w:rFonts w:eastAsia="Times New Roman" w:cs="Arial"/>
                <w:sz w:val="16"/>
              </w:rPr>
            </w:pPr>
            <w:r>
              <w:rPr>
                <w:rFonts w:eastAsia="Times New Roman" w:cs="Arial"/>
                <w:sz w:val="16"/>
              </w:rPr>
              <w:t>Revised to S2-2401511</w:t>
            </w:r>
          </w:p>
        </w:tc>
      </w:tr>
      <w:tr w:rsidR="00381D3F" w:rsidRPr="00B11300" w14:paraId="24BBEDC1" w14:textId="77777777" w:rsidTr="00381D3F">
        <w:tc>
          <w:tcPr>
            <w:tcW w:w="475" w:type="dxa"/>
            <w:tcBorders>
              <w:top w:val="outset" w:sz="6" w:space="0" w:color="000000"/>
              <w:left w:val="outset" w:sz="6" w:space="0" w:color="000000"/>
              <w:bottom w:val="outset" w:sz="6" w:space="0" w:color="000000"/>
              <w:right w:val="outset" w:sz="6" w:space="0" w:color="000000"/>
            </w:tcBorders>
            <w:shd w:val="clear" w:color="auto" w:fill="339966"/>
          </w:tcPr>
          <w:p w14:paraId="3DF4A2E3" w14:textId="77777777" w:rsidR="00381D3F" w:rsidRPr="00B11300" w:rsidRDefault="00381D3F" w:rsidP="00857E44">
            <w:pPr>
              <w:rPr>
                <w:rFonts w:eastAsia="Times New Roman" w:cs="Arial"/>
                <w:sz w:val="16"/>
                <w:szCs w:val="16"/>
              </w:rPr>
            </w:pPr>
            <w:r w:rsidRPr="00B11300">
              <w:rPr>
                <w:rFonts w:eastAsia="Times New Roman" w:cs="Arial"/>
                <w:sz w:val="16"/>
                <w:szCs w:val="16"/>
              </w:rPr>
              <w:t>9.10.2</w:t>
            </w:r>
          </w:p>
        </w:tc>
        <w:tc>
          <w:tcPr>
            <w:tcW w:w="958" w:type="dxa"/>
            <w:tcBorders>
              <w:top w:val="outset" w:sz="6" w:space="0" w:color="000000"/>
              <w:left w:val="outset" w:sz="6" w:space="0" w:color="000000"/>
              <w:bottom w:val="outset" w:sz="6" w:space="0" w:color="000000"/>
              <w:right w:val="outset" w:sz="6" w:space="0" w:color="000000"/>
            </w:tcBorders>
            <w:shd w:val="clear" w:color="auto" w:fill="339966"/>
          </w:tcPr>
          <w:p w14:paraId="6D19AEC9" w14:textId="77777777" w:rsidR="00381D3F" w:rsidRPr="00B11300" w:rsidRDefault="00A337D7" w:rsidP="00857E44">
            <w:pPr>
              <w:rPr>
                <w:rFonts w:eastAsia="Times New Roman" w:cs="Arial"/>
                <w:bCs/>
                <w:sz w:val="16"/>
                <w:szCs w:val="16"/>
              </w:rPr>
            </w:pPr>
            <w:hyperlink r:id="rId14" w:history="1">
              <w:r w:rsidR="00381D3F">
                <w:rPr>
                  <w:rStyle w:val="Hyperlink"/>
                  <w:rFonts w:eastAsia="Times New Roman" w:cs="Arial"/>
                  <w:bCs/>
                  <w:sz w:val="16"/>
                  <w:szCs w:val="16"/>
                </w:rPr>
                <w:t>S2-2401511</w:t>
              </w:r>
            </w:hyperlink>
          </w:p>
        </w:tc>
        <w:tc>
          <w:tcPr>
            <w:tcW w:w="402" w:type="dxa"/>
            <w:tcBorders>
              <w:top w:val="outset" w:sz="6" w:space="0" w:color="000000"/>
              <w:left w:val="outset" w:sz="6" w:space="0" w:color="000000"/>
              <w:bottom w:val="outset" w:sz="6" w:space="0" w:color="000000"/>
              <w:right w:val="outset" w:sz="6" w:space="0" w:color="000000"/>
            </w:tcBorders>
            <w:shd w:val="clear" w:color="auto" w:fill="339966"/>
          </w:tcPr>
          <w:p w14:paraId="0D534A70" w14:textId="77777777" w:rsidR="00381D3F" w:rsidRPr="00F736F0" w:rsidRDefault="00381D3F" w:rsidP="00857E44">
            <w:pPr>
              <w:rPr>
                <w:rFonts w:eastAsia="Times New Roman" w:cs="Arial"/>
                <w:sz w:val="16"/>
                <w:szCs w:val="16"/>
              </w:rPr>
            </w:pPr>
            <w:r w:rsidRPr="00F736F0">
              <w:rPr>
                <w:rFonts w:eastAsia="Times New Roman" w:cs="Arial"/>
                <w:sz w:val="16"/>
                <w:szCs w:val="16"/>
              </w:rPr>
              <w:t>CR</w:t>
            </w:r>
          </w:p>
        </w:tc>
        <w:tc>
          <w:tcPr>
            <w:tcW w:w="425" w:type="dxa"/>
            <w:tcBorders>
              <w:top w:val="outset" w:sz="6" w:space="0" w:color="000000"/>
              <w:left w:val="outset" w:sz="6" w:space="0" w:color="000000"/>
              <w:bottom w:val="outset" w:sz="6" w:space="0" w:color="000000"/>
              <w:right w:val="outset" w:sz="6" w:space="0" w:color="000000"/>
            </w:tcBorders>
            <w:shd w:val="clear" w:color="auto" w:fill="339966"/>
          </w:tcPr>
          <w:p w14:paraId="4F5B5013" w14:textId="77777777" w:rsidR="00381D3F" w:rsidRPr="00B11300" w:rsidRDefault="00381D3F" w:rsidP="00857E44">
            <w:pPr>
              <w:rPr>
                <w:rFonts w:eastAsia="Times New Roman" w:cs="Arial"/>
                <w:sz w:val="16"/>
                <w:szCs w:val="16"/>
              </w:rPr>
            </w:pPr>
            <w:r w:rsidRPr="00B11300">
              <w:rPr>
                <w:rFonts w:eastAsia="Times New Roman" w:cs="Arial"/>
                <w:sz w:val="16"/>
                <w:szCs w:val="16"/>
              </w:rPr>
              <w:t>Approval</w:t>
            </w:r>
          </w:p>
        </w:tc>
        <w:tc>
          <w:tcPr>
            <w:tcW w:w="2835" w:type="dxa"/>
            <w:tcBorders>
              <w:top w:val="outset" w:sz="6" w:space="0" w:color="000000"/>
              <w:left w:val="outset" w:sz="6" w:space="0" w:color="000000"/>
              <w:bottom w:val="outset" w:sz="6" w:space="0" w:color="000000"/>
              <w:right w:val="outset" w:sz="6" w:space="0" w:color="000000"/>
            </w:tcBorders>
            <w:shd w:val="clear" w:color="auto" w:fill="339966"/>
          </w:tcPr>
          <w:p w14:paraId="7D1BDB3D" w14:textId="77777777" w:rsidR="00381D3F" w:rsidRPr="00B11300" w:rsidRDefault="00381D3F" w:rsidP="00857E44">
            <w:pPr>
              <w:rPr>
                <w:rFonts w:eastAsia="Times New Roman" w:cs="Arial"/>
                <w:sz w:val="16"/>
                <w:szCs w:val="16"/>
              </w:rPr>
            </w:pPr>
            <w:r w:rsidRPr="00B11300">
              <w:rPr>
                <w:rFonts w:eastAsia="Times New Roman" w:cs="Arial"/>
                <w:sz w:val="16"/>
                <w:szCs w:val="16"/>
              </w:rPr>
              <w:t>23.247 CR0352 (Rel-18, 'F'): Clarification on the Multicast MBS procedures for UEs using power saving functions</w:t>
            </w:r>
          </w:p>
        </w:tc>
        <w:tc>
          <w:tcPr>
            <w:tcW w:w="426" w:type="dxa"/>
            <w:tcBorders>
              <w:top w:val="outset" w:sz="6" w:space="0" w:color="000000"/>
              <w:left w:val="outset" w:sz="6" w:space="0" w:color="000000"/>
              <w:bottom w:val="outset" w:sz="6" w:space="0" w:color="000000"/>
              <w:right w:val="outset" w:sz="6" w:space="0" w:color="000000"/>
            </w:tcBorders>
            <w:shd w:val="clear" w:color="auto" w:fill="339966"/>
          </w:tcPr>
          <w:p w14:paraId="30B6BA68" w14:textId="77777777" w:rsidR="00381D3F" w:rsidRPr="00B11300" w:rsidRDefault="00381D3F" w:rsidP="00857E44">
            <w:pPr>
              <w:rPr>
                <w:rFonts w:eastAsia="Times New Roman" w:cs="Arial"/>
                <w:sz w:val="16"/>
                <w:szCs w:val="16"/>
              </w:rPr>
            </w:pPr>
            <w:r w:rsidRPr="00B11300">
              <w:rPr>
                <w:rFonts w:eastAsia="Times New Roman" w:cs="Arial"/>
                <w:sz w:val="16"/>
                <w:szCs w:val="16"/>
              </w:rPr>
              <w:t>ZTE</w:t>
            </w:r>
          </w:p>
        </w:tc>
        <w:tc>
          <w:tcPr>
            <w:tcW w:w="567" w:type="dxa"/>
            <w:tcBorders>
              <w:top w:val="outset" w:sz="6" w:space="0" w:color="000000"/>
              <w:left w:val="outset" w:sz="6" w:space="0" w:color="000000"/>
              <w:bottom w:val="outset" w:sz="6" w:space="0" w:color="000000"/>
              <w:right w:val="outset" w:sz="6" w:space="0" w:color="000000"/>
            </w:tcBorders>
            <w:shd w:val="clear" w:color="auto" w:fill="339966"/>
          </w:tcPr>
          <w:p w14:paraId="6D19FC5F" w14:textId="77777777" w:rsidR="00381D3F" w:rsidRPr="00B11300" w:rsidRDefault="00381D3F" w:rsidP="00857E44">
            <w:pPr>
              <w:rPr>
                <w:rFonts w:eastAsia="Times New Roman" w:cs="Arial"/>
                <w:sz w:val="16"/>
                <w:szCs w:val="16"/>
              </w:rPr>
            </w:pPr>
            <w:r w:rsidRPr="00B11300">
              <w:rPr>
                <w:rFonts w:eastAsia="Times New Roman" w:cs="Arial"/>
                <w:sz w:val="16"/>
                <w:szCs w:val="16"/>
              </w:rPr>
              <w:t>Rel-18</w:t>
            </w:r>
          </w:p>
        </w:tc>
        <w:tc>
          <w:tcPr>
            <w:tcW w:w="141" w:type="dxa"/>
            <w:tcBorders>
              <w:top w:val="outset" w:sz="6" w:space="0" w:color="000000"/>
              <w:left w:val="outset" w:sz="6" w:space="0" w:color="000000"/>
              <w:bottom w:val="outset" w:sz="6" w:space="0" w:color="000000"/>
              <w:right w:val="outset" w:sz="6" w:space="0" w:color="000000"/>
            </w:tcBorders>
            <w:shd w:val="clear" w:color="auto" w:fill="339966"/>
          </w:tcPr>
          <w:p w14:paraId="18F3CB7D" w14:textId="77777777" w:rsidR="00381D3F" w:rsidRPr="00B11300" w:rsidRDefault="00381D3F" w:rsidP="00857E44">
            <w:pPr>
              <w:rPr>
                <w:rFonts w:eastAsia="Times New Roman" w:cs="Arial"/>
                <w:sz w:val="16"/>
              </w:rPr>
            </w:pPr>
          </w:p>
        </w:tc>
        <w:tc>
          <w:tcPr>
            <w:tcW w:w="2552" w:type="dxa"/>
            <w:tcBorders>
              <w:top w:val="outset" w:sz="6" w:space="0" w:color="000000"/>
              <w:left w:val="outset" w:sz="6" w:space="0" w:color="000000"/>
              <w:bottom w:val="outset" w:sz="6" w:space="0" w:color="000000"/>
              <w:right w:val="outset" w:sz="6" w:space="0" w:color="000000"/>
            </w:tcBorders>
            <w:shd w:val="clear" w:color="auto" w:fill="339966"/>
          </w:tcPr>
          <w:p w14:paraId="5BD2415E" w14:textId="77777777" w:rsidR="00381D3F" w:rsidRPr="00B11300" w:rsidRDefault="00381D3F" w:rsidP="00857E44">
            <w:pPr>
              <w:rPr>
                <w:rFonts w:eastAsia="Times New Roman" w:cs="Arial"/>
                <w:sz w:val="16"/>
              </w:rPr>
            </w:pPr>
            <w:r w:rsidRPr="00B11300">
              <w:rPr>
                <w:rFonts w:eastAsia="Times New Roman" w:cs="Arial"/>
                <w:sz w:val="16"/>
              </w:rPr>
              <w:t>Revision of S2-2400841r01</w:t>
            </w:r>
          </w:p>
          <w:p w14:paraId="2C228D83" w14:textId="77777777" w:rsidR="00381D3F" w:rsidRPr="00B11300" w:rsidRDefault="00381D3F" w:rsidP="00857E44">
            <w:pPr>
              <w:rPr>
                <w:rFonts w:eastAsia="Times New Roman" w:cs="Arial"/>
                <w:sz w:val="16"/>
              </w:rPr>
            </w:pPr>
            <w:r w:rsidRPr="00B11300">
              <w:rPr>
                <w:rFonts w:eastAsia="Times New Roman" w:cs="Arial"/>
                <w:sz w:val="16"/>
              </w:rPr>
              <w:t>== Comments Deadline ==</w:t>
            </w:r>
          </w:p>
        </w:tc>
        <w:tc>
          <w:tcPr>
            <w:tcW w:w="992" w:type="dxa"/>
            <w:tcBorders>
              <w:top w:val="outset" w:sz="6" w:space="0" w:color="000000"/>
              <w:left w:val="outset" w:sz="6" w:space="0" w:color="000000"/>
              <w:bottom w:val="outset" w:sz="6" w:space="0" w:color="000000"/>
              <w:right w:val="outset" w:sz="6" w:space="0" w:color="000000"/>
            </w:tcBorders>
            <w:shd w:val="clear" w:color="auto" w:fill="339966"/>
          </w:tcPr>
          <w:p w14:paraId="449BB6AD" w14:textId="77777777" w:rsidR="00381D3F" w:rsidRPr="00B11300" w:rsidRDefault="00381D3F" w:rsidP="00857E44">
            <w:pPr>
              <w:rPr>
                <w:rFonts w:eastAsia="Times New Roman" w:cs="Arial"/>
                <w:sz w:val="16"/>
              </w:rPr>
            </w:pPr>
            <w:r w:rsidRPr="00B11300">
              <w:rPr>
                <w:rFonts w:eastAsia="Times New Roman" w:cs="Arial"/>
                <w:sz w:val="16"/>
              </w:rPr>
              <w:t>APPROVED</w:t>
            </w:r>
          </w:p>
        </w:tc>
      </w:tr>
    </w:tbl>
    <w:p w14:paraId="18B5C3B2" w14:textId="77777777" w:rsidR="00381D3F" w:rsidRDefault="00381D3F" w:rsidP="00F520B0"/>
    <w:p w14:paraId="484BE332" w14:textId="77777777" w:rsidR="008F55C9" w:rsidRDefault="008F55C9" w:rsidP="00F520B0"/>
    <w:p w14:paraId="1C7242F8" w14:textId="0332ADC9" w:rsidR="008F55C9" w:rsidRPr="008F55C9" w:rsidRDefault="008F55C9" w:rsidP="008F55C9">
      <w:pPr>
        <w:rPr>
          <w:b/>
          <w:bCs/>
          <w:sz w:val="28"/>
          <w:szCs w:val="28"/>
          <w:u w:val="single"/>
        </w:rPr>
      </w:pPr>
      <w:r>
        <w:rPr>
          <w:b/>
          <w:bCs/>
          <w:sz w:val="28"/>
          <w:szCs w:val="28"/>
          <w:u w:val="single"/>
        </w:rPr>
        <w:t>Is RAN alignment for UEs using power saving functions still required?</w:t>
      </w:r>
    </w:p>
    <w:p w14:paraId="1D0C8852" w14:textId="63D42445" w:rsidR="00381D3F" w:rsidRDefault="00381D3F" w:rsidP="00F520B0">
      <w:r>
        <w:t>However, due to recent RAN agreements the EN is no longer required:</w:t>
      </w:r>
    </w:p>
    <w:p w14:paraId="2D0BD864" w14:textId="77777777" w:rsidR="00381D3F" w:rsidRDefault="00381D3F" w:rsidP="00F520B0"/>
    <w:p w14:paraId="5BEE77B8" w14:textId="0C5B2E35" w:rsidR="00D10C37" w:rsidRDefault="00D10C37" w:rsidP="00F520B0">
      <w:r>
        <w:t xml:space="preserve">The report of the RAN 2 chair on discussions on MBS and QoE in </w:t>
      </w:r>
      <w:hyperlink r:id="rId15" w:history="1">
        <w:r w:rsidRPr="00D10C37">
          <w:rPr>
            <w:rStyle w:val="Hyperlink"/>
          </w:rPr>
          <w:t>R2-2401546</w:t>
        </w:r>
      </w:hyperlink>
      <w:r>
        <w:t xml:space="preserve"> contains the following:</w:t>
      </w:r>
    </w:p>
    <w:p w14:paraId="4684CD87" w14:textId="77777777" w:rsidR="00381D3F" w:rsidRDefault="00381D3F" w:rsidP="00F520B0"/>
    <w:p w14:paraId="2A1312E5" w14:textId="77777777" w:rsidR="00D10C37" w:rsidRPr="00D10C37" w:rsidRDefault="00D10C37" w:rsidP="00D10C37">
      <w:pPr>
        <w:pStyle w:val="Heading3"/>
        <w:ind w:left="1418"/>
        <w:rPr>
          <w:i/>
          <w:iCs/>
        </w:rPr>
      </w:pPr>
      <w:r w:rsidRPr="00D10C37">
        <w:rPr>
          <w:i/>
          <w:iCs/>
        </w:rPr>
        <w:lastRenderedPageBreak/>
        <w:t>7.24.2</w:t>
      </w:r>
      <w:r w:rsidRPr="00D10C37">
        <w:rPr>
          <w:i/>
          <w:iCs/>
        </w:rPr>
        <w:tab/>
        <w:t>TEI proposals by RAN2</w:t>
      </w:r>
    </w:p>
    <w:p w14:paraId="38C8945D" w14:textId="77777777" w:rsidR="00D10C37" w:rsidRPr="00D10C37" w:rsidRDefault="00D10C37" w:rsidP="00D10C37">
      <w:pPr>
        <w:pStyle w:val="Comments"/>
        <w:ind w:left="284"/>
        <w:rPr>
          <w:iCs/>
        </w:rPr>
      </w:pPr>
      <w:r w:rsidRPr="00D10C37">
        <w:rPr>
          <w:iCs/>
        </w:rPr>
        <w:t xml:space="preserve">Items initiated in RAN2 for NR and LTE. </w:t>
      </w:r>
    </w:p>
    <w:p w14:paraId="01F07DF8" w14:textId="77777777" w:rsidR="00D10C37" w:rsidRPr="00D10C37" w:rsidRDefault="00D10C37" w:rsidP="00D10C37">
      <w:pPr>
        <w:pStyle w:val="Comments"/>
        <w:ind w:left="284"/>
        <w:rPr>
          <w:iCs/>
        </w:rPr>
      </w:pPr>
      <w:r w:rsidRPr="00D10C37">
        <w:rPr>
          <w:iCs/>
        </w:rPr>
        <w:t xml:space="preserve">Tdoc limitation: 1 tdoc, limitation applicable to new proposals.  </w:t>
      </w:r>
    </w:p>
    <w:p w14:paraId="021D3FD4" w14:textId="77777777" w:rsidR="00D10C37" w:rsidRPr="00D10C37" w:rsidRDefault="00D10C37" w:rsidP="00D10C37">
      <w:pPr>
        <w:pStyle w:val="Doc-title"/>
        <w:ind w:left="1543"/>
        <w:rPr>
          <w:i/>
          <w:iCs/>
        </w:rPr>
      </w:pPr>
    </w:p>
    <w:p w14:paraId="37266C5A" w14:textId="77777777" w:rsidR="00D10C37" w:rsidRPr="00D10C37" w:rsidRDefault="00D10C37" w:rsidP="00D10C37">
      <w:pPr>
        <w:pStyle w:val="Doc-text2"/>
        <w:ind w:left="284" w:firstLine="0"/>
        <w:rPr>
          <w:b/>
          <w:i/>
          <w:iCs/>
        </w:rPr>
      </w:pPr>
      <w:r w:rsidRPr="00D10C37">
        <w:rPr>
          <w:b/>
          <w:i/>
          <w:iCs/>
        </w:rPr>
        <w:t>eDRX/MICO</w:t>
      </w:r>
    </w:p>
    <w:p w14:paraId="58179C58" w14:textId="77777777" w:rsidR="00D10C37" w:rsidRPr="00D10C37" w:rsidRDefault="00A337D7" w:rsidP="00D10C37">
      <w:pPr>
        <w:pStyle w:val="Doc-title"/>
        <w:ind w:left="1543"/>
        <w:rPr>
          <w:i/>
          <w:iCs/>
        </w:rPr>
      </w:pPr>
      <w:hyperlink r:id="rId16" w:tooltip="D:3GPPTSGR2TSGR2_125docsR2-2400006.zip" w:history="1">
        <w:r w:rsidR="00D10C37" w:rsidRPr="00D10C37">
          <w:rPr>
            <w:rStyle w:val="Hyperlink"/>
            <w:i/>
            <w:iCs/>
          </w:rPr>
          <w:t>R2-2400006</w:t>
        </w:r>
      </w:hyperlink>
      <w:r w:rsidR="00D10C37" w:rsidRPr="00D10C37">
        <w:rPr>
          <w:i/>
          <w:iCs/>
        </w:rPr>
        <w:tab/>
        <w:t>LS on the impact of supporting multicast MBS session and Broadcast MBS session for UEs using eDRX (C1-239661; contact: Nokia)</w:t>
      </w:r>
      <w:r w:rsidR="00D10C37" w:rsidRPr="00D10C37">
        <w:rPr>
          <w:i/>
          <w:iCs/>
        </w:rPr>
        <w:tab/>
        <w:t>CT1</w:t>
      </w:r>
      <w:r w:rsidR="00D10C37" w:rsidRPr="00D10C37">
        <w:rPr>
          <w:i/>
          <w:iCs/>
        </w:rPr>
        <w:tab/>
        <w:t>LS in</w:t>
      </w:r>
      <w:r w:rsidR="00D10C37" w:rsidRPr="00D10C37">
        <w:rPr>
          <w:i/>
          <w:iCs/>
        </w:rPr>
        <w:tab/>
        <w:t>Rel-18</w:t>
      </w:r>
      <w:r w:rsidR="00D10C37" w:rsidRPr="00D10C37">
        <w:rPr>
          <w:i/>
          <w:iCs/>
        </w:rPr>
        <w:tab/>
        <w:t>5MBS_Ph2</w:t>
      </w:r>
      <w:r w:rsidR="00D10C37" w:rsidRPr="00D10C37">
        <w:rPr>
          <w:i/>
          <w:iCs/>
        </w:rPr>
        <w:tab/>
        <w:t>To:RAN2</w:t>
      </w:r>
      <w:r w:rsidR="00D10C37" w:rsidRPr="00D10C37">
        <w:rPr>
          <w:i/>
          <w:iCs/>
        </w:rPr>
        <w:tab/>
        <w:t>Cc:SA2</w:t>
      </w:r>
    </w:p>
    <w:p w14:paraId="1CD5C47F" w14:textId="77777777" w:rsidR="00D10C37" w:rsidRPr="00D10C37" w:rsidRDefault="00D10C37" w:rsidP="00D10C37">
      <w:pPr>
        <w:pStyle w:val="Agreement"/>
        <w:tabs>
          <w:tab w:val="clear" w:pos="1619"/>
          <w:tab w:val="num" w:pos="1903"/>
        </w:tabs>
        <w:ind w:left="1903"/>
        <w:rPr>
          <w:i/>
          <w:iCs/>
        </w:rPr>
      </w:pPr>
      <w:r w:rsidRPr="00D10C37">
        <w:rPr>
          <w:i/>
          <w:iCs/>
        </w:rPr>
        <w:t>Noted</w:t>
      </w:r>
    </w:p>
    <w:p w14:paraId="4FDFFE86" w14:textId="77777777" w:rsidR="00D10C37" w:rsidRPr="00D10C37" w:rsidRDefault="00D10C37" w:rsidP="00D10C37">
      <w:pPr>
        <w:pStyle w:val="Doc-title"/>
        <w:ind w:left="1543"/>
        <w:rPr>
          <w:i/>
          <w:iCs/>
        </w:rPr>
      </w:pPr>
    </w:p>
    <w:p w14:paraId="5F3431F8" w14:textId="77777777" w:rsidR="00D10C37" w:rsidRPr="00D10C37" w:rsidRDefault="00A337D7" w:rsidP="00D10C37">
      <w:pPr>
        <w:pStyle w:val="Doc-title"/>
        <w:ind w:left="1543"/>
        <w:rPr>
          <w:i/>
          <w:iCs/>
        </w:rPr>
      </w:pPr>
      <w:hyperlink r:id="rId17" w:tooltip="D:3GPPExtractsR2-2401174 eDRX and MICO handling.docx" w:history="1">
        <w:r w:rsidR="00D10C37" w:rsidRPr="00D10C37">
          <w:rPr>
            <w:rStyle w:val="Hyperlink"/>
            <w:i/>
            <w:iCs/>
          </w:rPr>
          <w:t>R2-2401174</w:t>
        </w:r>
      </w:hyperlink>
      <w:r w:rsidR="00D10C37" w:rsidRPr="00D10C37">
        <w:rPr>
          <w:i/>
          <w:iCs/>
        </w:rPr>
        <w:tab/>
        <w:t>eDRX and MICO</w:t>
      </w:r>
      <w:r w:rsidR="00D10C37" w:rsidRPr="00D10C37">
        <w:rPr>
          <w:i/>
          <w:iCs/>
        </w:rPr>
        <w:tab/>
        <w:t>Nokia, Nokia Shanghai Bell</w:t>
      </w:r>
      <w:r w:rsidR="00D10C37" w:rsidRPr="00D10C37">
        <w:rPr>
          <w:i/>
          <w:iCs/>
        </w:rPr>
        <w:tab/>
        <w:t>discussion</w:t>
      </w:r>
      <w:r w:rsidR="00D10C37" w:rsidRPr="00D10C37">
        <w:rPr>
          <w:i/>
          <w:iCs/>
        </w:rPr>
        <w:tab/>
        <w:t>Rel-18</w:t>
      </w:r>
      <w:r w:rsidR="00D10C37" w:rsidRPr="00D10C37">
        <w:rPr>
          <w:i/>
          <w:iCs/>
        </w:rPr>
        <w:tab/>
        <w:t>NR_MBS_enh-Core</w:t>
      </w:r>
    </w:p>
    <w:p w14:paraId="706DE862" w14:textId="77777777" w:rsidR="00D10C37" w:rsidRPr="00D10C37" w:rsidRDefault="00D10C37" w:rsidP="00D10C37">
      <w:pPr>
        <w:pStyle w:val="Doc-text2"/>
        <w:ind w:left="1906"/>
        <w:rPr>
          <w:i/>
          <w:iCs/>
        </w:rPr>
      </w:pPr>
      <w:r w:rsidRPr="00D10C37">
        <w:rPr>
          <w:i/>
          <w:iCs/>
        </w:rPr>
        <w:t>Proposal 1: In order to ensure UE monitors multicast paging correctly it is sufficient to capture proposed text in the 7.4 section:UE shall monitor paging as defined in 7.1 during upper layer configured the start time and/or scheduled activation time(s) (as specified in TS23.247 [21]) even if the UE operates in eDRX”</w:t>
      </w:r>
    </w:p>
    <w:p w14:paraId="4378EA04" w14:textId="77777777" w:rsidR="00D10C37" w:rsidRPr="00D10C37" w:rsidRDefault="00D10C37" w:rsidP="00D10C37">
      <w:pPr>
        <w:pStyle w:val="Doc-text2"/>
        <w:ind w:left="1906"/>
        <w:rPr>
          <w:i/>
          <w:iCs/>
        </w:rPr>
      </w:pPr>
      <w:r w:rsidRPr="00D10C37">
        <w:rPr>
          <w:i/>
          <w:iCs/>
        </w:rPr>
        <w:t>Proposal 2: In order to ensure UE monitors MBS broadcast correctly while configured in upper layers with MBS broadcast start times/scheduled activation times it is sufficient to capture a NOTE in the 6.2 section: UE performs procedures to receive MBS broadcast session(s) as defined in TS 38.331 [3], if upper layer is configured the start time and/or scheduled activation time(s) (as specified in TS23.247 [21]) even if the UE operates in eDRX”</w:t>
      </w:r>
    </w:p>
    <w:p w14:paraId="10B68362" w14:textId="77777777" w:rsidR="00D10C37" w:rsidRPr="00D10C37" w:rsidRDefault="00D10C37" w:rsidP="00D10C37">
      <w:pPr>
        <w:pStyle w:val="Doc-text2"/>
        <w:ind w:left="1906"/>
        <w:rPr>
          <w:i/>
          <w:iCs/>
        </w:rPr>
      </w:pPr>
    </w:p>
    <w:p w14:paraId="44DAF79B" w14:textId="77777777" w:rsidR="00D10C37" w:rsidRPr="00D10C37" w:rsidRDefault="00A337D7" w:rsidP="00D10C37">
      <w:pPr>
        <w:pStyle w:val="Doc-title"/>
        <w:ind w:left="1543"/>
        <w:rPr>
          <w:i/>
          <w:iCs/>
        </w:rPr>
      </w:pPr>
      <w:hyperlink r:id="rId18" w:tooltip="D:3GPPExtractsR2-2401354 MBS multicast with eDRX and MICO mode.docx" w:history="1">
        <w:r w:rsidR="00D10C37" w:rsidRPr="00D10C37">
          <w:rPr>
            <w:rStyle w:val="Hyperlink"/>
            <w:i/>
            <w:iCs/>
          </w:rPr>
          <w:t>R2-2401354</w:t>
        </w:r>
      </w:hyperlink>
      <w:r w:rsidR="00D10C37" w:rsidRPr="00D10C37">
        <w:rPr>
          <w:i/>
          <w:iCs/>
        </w:rPr>
        <w:tab/>
        <w:t>MBS multicast with eDRX and MICO mode</w:t>
      </w:r>
      <w:r w:rsidR="00D10C37" w:rsidRPr="00D10C37">
        <w:rPr>
          <w:i/>
          <w:iCs/>
        </w:rPr>
        <w:tab/>
        <w:t>Ericsson</w:t>
      </w:r>
      <w:r w:rsidR="00D10C37" w:rsidRPr="00D10C37">
        <w:rPr>
          <w:i/>
          <w:iCs/>
        </w:rPr>
        <w:tab/>
        <w:t>discussion</w:t>
      </w:r>
      <w:r w:rsidR="00D10C37" w:rsidRPr="00D10C37">
        <w:rPr>
          <w:i/>
          <w:iCs/>
        </w:rPr>
        <w:tab/>
        <w:t>Rel-18</w:t>
      </w:r>
      <w:r w:rsidR="00D10C37" w:rsidRPr="00D10C37">
        <w:rPr>
          <w:i/>
          <w:iCs/>
        </w:rPr>
        <w:tab/>
        <w:t>NR_MBS_enh-Core</w:t>
      </w:r>
    </w:p>
    <w:p w14:paraId="1F59C735" w14:textId="77777777" w:rsidR="00D10C37" w:rsidRPr="00D10C37" w:rsidRDefault="00D10C37" w:rsidP="00D10C37">
      <w:pPr>
        <w:pStyle w:val="Doc-text2"/>
        <w:ind w:left="1906"/>
        <w:rPr>
          <w:i/>
          <w:iCs/>
        </w:rPr>
      </w:pPr>
      <w:r w:rsidRPr="00D10C37">
        <w:rPr>
          <w:i/>
          <w:iCs/>
        </w:rPr>
        <w:t>Proposal 1</w:t>
      </w:r>
      <w:r w:rsidRPr="00D10C37">
        <w:rPr>
          <w:i/>
          <w:iCs/>
        </w:rPr>
        <w:tab/>
        <w:t>Clarify in 38.304 that the UE starts monitoring Paging using TMGI when the upper layers deactivate MICO mode and AS layer is activated at the start/scheduled activation time.</w:t>
      </w:r>
    </w:p>
    <w:p w14:paraId="523C042F" w14:textId="77777777" w:rsidR="00D10C37" w:rsidRPr="00D10C37" w:rsidRDefault="00D10C37" w:rsidP="00D10C37">
      <w:pPr>
        <w:pStyle w:val="Doc-text2"/>
        <w:ind w:left="1906"/>
        <w:rPr>
          <w:i/>
          <w:iCs/>
        </w:rPr>
      </w:pPr>
      <w:r w:rsidRPr="00D10C37">
        <w:rPr>
          <w:i/>
          <w:iCs/>
        </w:rPr>
        <w:t>Proposal 2</w:t>
      </w:r>
      <w:r w:rsidRPr="00D10C37">
        <w:rPr>
          <w:i/>
          <w:iCs/>
        </w:rPr>
        <w:tab/>
        <w:t>Clarify in 38.304 that when the UE has joined a multicast session and eDRX is configured, that the UE starts monitoring Paging using TMGI at the start/scheduled activation time and the UE does not use eDRX to monitor Paging.</w:t>
      </w:r>
    </w:p>
    <w:p w14:paraId="6379674C" w14:textId="77777777" w:rsidR="00D10C37" w:rsidRPr="00D10C37" w:rsidRDefault="00D10C37" w:rsidP="00D10C37">
      <w:pPr>
        <w:pStyle w:val="Doc-text2"/>
        <w:ind w:left="284" w:firstLine="0"/>
        <w:rPr>
          <w:b/>
          <w:i/>
          <w:iCs/>
        </w:rPr>
      </w:pPr>
    </w:p>
    <w:p w14:paraId="437CC1D9" w14:textId="77777777" w:rsidR="00D10C37" w:rsidRPr="00D10C37" w:rsidRDefault="00D10C37" w:rsidP="00D10C37">
      <w:pPr>
        <w:pStyle w:val="Doc-text2"/>
        <w:ind w:left="284" w:firstLine="0"/>
        <w:rPr>
          <w:i/>
          <w:iCs/>
        </w:rPr>
      </w:pPr>
      <w:r w:rsidRPr="00D10C37">
        <w:rPr>
          <w:i/>
          <w:iCs/>
        </w:rPr>
        <w:t>DISCUSSION:</w:t>
      </w:r>
    </w:p>
    <w:p w14:paraId="2425899C" w14:textId="77777777" w:rsidR="00D10C37" w:rsidRPr="00D10C37" w:rsidRDefault="00D10C37" w:rsidP="00D10C37">
      <w:pPr>
        <w:pStyle w:val="Doc-text2"/>
        <w:numPr>
          <w:ilvl w:val="0"/>
          <w:numId w:val="31"/>
        </w:numPr>
        <w:ind w:left="1004"/>
        <w:rPr>
          <w:i/>
          <w:iCs/>
        </w:rPr>
      </w:pPr>
      <w:r w:rsidRPr="00D10C37">
        <w:rPr>
          <w:i/>
          <w:iCs/>
        </w:rPr>
        <w:t>Ericsson indicates the main difference between their proposal and Nokia’s is that Ericsson proposes to address this for both MICO and eDRX while Nokia only for eDRX.</w:t>
      </w:r>
    </w:p>
    <w:p w14:paraId="4F1CEF1A" w14:textId="77777777" w:rsidR="00D10C37" w:rsidRPr="00D10C37" w:rsidRDefault="00D10C37" w:rsidP="00D10C37">
      <w:pPr>
        <w:pStyle w:val="Doc-text2"/>
        <w:numPr>
          <w:ilvl w:val="0"/>
          <w:numId w:val="31"/>
        </w:numPr>
        <w:ind w:left="1004"/>
        <w:rPr>
          <w:i/>
          <w:iCs/>
        </w:rPr>
      </w:pPr>
      <w:r w:rsidRPr="00D10C37">
        <w:rPr>
          <w:i/>
          <w:iCs/>
        </w:rPr>
        <w:t>LGE thinks that MICO and MBS should be always configured together.</w:t>
      </w:r>
    </w:p>
    <w:p w14:paraId="240D9296" w14:textId="77777777" w:rsidR="00D10C37" w:rsidRPr="00D10C37" w:rsidRDefault="00D10C37" w:rsidP="00D10C37">
      <w:pPr>
        <w:pStyle w:val="Doc-text2"/>
        <w:numPr>
          <w:ilvl w:val="0"/>
          <w:numId w:val="31"/>
        </w:numPr>
        <w:ind w:left="1004"/>
        <w:rPr>
          <w:i/>
          <w:iCs/>
        </w:rPr>
      </w:pPr>
      <w:r w:rsidRPr="00D10C37">
        <w:rPr>
          <w:i/>
          <w:iCs/>
        </w:rPr>
        <w:t>Nokia thinks that MICO is transparent to AS, so it may be hard to address it in our specs.</w:t>
      </w:r>
    </w:p>
    <w:p w14:paraId="37BD4BAD" w14:textId="77777777" w:rsidR="00D10C37" w:rsidRPr="00D10C37" w:rsidRDefault="00D10C37" w:rsidP="00D10C37">
      <w:pPr>
        <w:pStyle w:val="Doc-text2"/>
        <w:numPr>
          <w:ilvl w:val="0"/>
          <w:numId w:val="31"/>
        </w:numPr>
        <w:ind w:left="1004"/>
        <w:rPr>
          <w:i/>
          <w:iCs/>
        </w:rPr>
      </w:pPr>
      <w:r w:rsidRPr="00D10C37">
        <w:rPr>
          <w:i/>
          <w:iCs/>
        </w:rPr>
        <w:t>Ericsson thinks we need to clarify this for MICO as well. At the moment it is not specified anywhere that UE needs to monitor group Paging when receiving indication from upper layers when MICO is enabled.</w:t>
      </w:r>
    </w:p>
    <w:p w14:paraId="740CF4C0" w14:textId="77777777" w:rsidR="00D10C37" w:rsidRPr="00D10C37" w:rsidRDefault="00D10C37" w:rsidP="00D10C37">
      <w:pPr>
        <w:pStyle w:val="Doc-text2"/>
        <w:numPr>
          <w:ilvl w:val="0"/>
          <w:numId w:val="31"/>
        </w:numPr>
        <w:ind w:left="1004"/>
        <w:rPr>
          <w:i/>
          <w:iCs/>
        </w:rPr>
      </w:pPr>
      <w:r w:rsidRPr="00D10C37">
        <w:rPr>
          <w:i/>
          <w:iCs/>
        </w:rPr>
        <w:t>ZTE agrees we can include both MICO and eDRX.</w:t>
      </w:r>
    </w:p>
    <w:p w14:paraId="30165FD7" w14:textId="77777777" w:rsidR="00D10C37" w:rsidRPr="00D10C37" w:rsidRDefault="00D10C37" w:rsidP="00D10C37">
      <w:pPr>
        <w:pStyle w:val="Doc-text2"/>
        <w:numPr>
          <w:ilvl w:val="0"/>
          <w:numId w:val="31"/>
        </w:numPr>
        <w:ind w:left="1004"/>
        <w:rPr>
          <w:i/>
          <w:iCs/>
        </w:rPr>
      </w:pPr>
      <w:r w:rsidRPr="00D10C37">
        <w:rPr>
          <w:i/>
          <w:iCs/>
        </w:rPr>
        <w:t>CATT wonders if we need to clarify that unicast paging is ignored when received within eDRX/MICO.</w:t>
      </w:r>
    </w:p>
    <w:p w14:paraId="656778C5" w14:textId="77777777" w:rsidR="00D10C37" w:rsidRPr="00D10C37" w:rsidRDefault="00D10C37" w:rsidP="00D10C37">
      <w:pPr>
        <w:pStyle w:val="Doc-text2"/>
        <w:numPr>
          <w:ilvl w:val="0"/>
          <w:numId w:val="31"/>
        </w:numPr>
        <w:ind w:left="1004"/>
        <w:rPr>
          <w:i/>
          <w:iCs/>
        </w:rPr>
      </w:pPr>
      <w:r w:rsidRPr="00D10C37">
        <w:rPr>
          <w:i/>
          <w:iCs/>
        </w:rPr>
        <w:t>QCM thinks Ericsson’ proposal is OK.</w:t>
      </w:r>
    </w:p>
    <w:p w14:paraId="4D910A36" w14:textId="77777777" w:rsidR="00D10C37" w:rsidRPr="00D10C37" w:rsidRDefault="00D10C37" w:rsidP="00D10C37">
      <w:pPr>
        <w:pStyle w:val="Agreement"/>
        <w:numPr>
          <w:ilvl w:val="0"/>
          <w:numId w:val="0"/>
        </w:numPr>
        <w:tabs>
          <w:tab w:val="left" w:pos="720"/>
        </w:tabs>
        <w:ind w:left="284"/>
        <w:rPr>
          <w:i/>
          <w:iCs/>
        </w:rPr>
      </w:pPr>
    </w:p>
    <w:p w14:paraId="5041A1FE" w14:textId="77777777" w:rsidR="00D10C37" w:rsidRPr="00FF2238" w:rsidRDefault="00D10C37" w:rsidP="00D10C37">
      <w:pPr>
        <w:pStyle w:val="Agreement"/>
        <w:tabs>
          <w:tab w:val="clear" w:pos="1619"/>
          <w:tab w:val="num" w:pos="1903"/>
        </w:tabs>
        <w:ind w:left="1903"/>
        <w:rPr>
          <w:i/>
          <w:iCs/>
          <w:highlight w:val="yellow"/>
        </w:rPr>
      </w:pPr>
      <w:r w:rsidRPr="00FF2238">
        <w:rPr>
          <w:i/>
          <w:iCs/>
          <w:highlight w:val="yellow"/>
        </w:rPr>
        <w:t>We capture in specs that UE monitors paging as defined in 7.1 during upper layer configured the start time and/or scheduled activation time(s) (as specified in TS23.247 [21])</w:t>
      </w:r>
    </w:p>
    <w:p w14:paraId="00F06817" w14:textId="77777777" w:rsidR="00D10C37" w:rsidRPr="00FF2238" w:rsidRDefault="00D10C37" w:rsidP="00D10C37">
      <w:pPr>
        <w:pStyle w:val="Agreement"/>
        <w:numPr>
          <w:ilvl w:val="2"/>
          <w:numId w:val="29"/>
        </w:numPr>
        <w:tabs>
          <w:tab w:val="clear" w:pos="2160"/>
          <w:tab w:val="num" w:pos="2444"/>
        </w:tabs>
        <w:ind w:left="2444"/>
        <w:rPr>
          <w:i/>
          <w:iCs/>
          <w:highlight w:val="yellow"/>
        </w:rPr>
      </w:pPr>
      <w:r w:rsidRPr="00FF2238">
        <w:rPr>
          <w:i/>
          <w:iCs/>
          <w:highlight w:val="yellow"/>
        </w:rPr>
        <w:t>The above applies only to Paging using TMGI</w:t>
      </w:r>
    </w:p>
    <w:p w14:paraId="21D5F387" w14:textId="77777777" w:rsidR="00D10C37" w:rsidRPr="00FF2238" w:rsidRDefault="00D10C37" w:rsidP="00D10C37">
      <w:pPr>
        <w:pStyle w:val="Agreement"/>
        <w:numPr>
          <w:ilvl w:val="2"/>
          <w:numId w:val="29"/>
        </w:numPr>
        <w:tabs>
          <w:tab w:val="clear" w:pos="2160"/>
          <w:tab w:val="num" w:pos="2444"/>
        </w:tabs>
        <w:ind w:left="2444"/>
        <w:rPr>
          <w:i/>
          <w:iCs/>
          <w:highlight w:val="yellow"/>
        </w:rPr>
      </w:pPr>
      <w:r w:rsidRPr="00FF2238">
        <w:rPr>
          <w:i/>
          <w:iCs/>
          <w:highlight w:val="yellow"/>
        </w:rPr>
        <w:t>We do not distinguish eDRX/MICO modes when capturing this</w:t>
      </w:r>
    </w:p>
    <w:p w14:paraId="27EC4C3A" w14:textId="77777777" w:rsidR="00D10C37" w:rsidRPr="00FF2238" w:rsidRDefault="00D10C37" w:rsidP="00D10C37">
      <w:pPr>
        <w:pStyle w:val="Agreement"/>
        <w:tabs>
          <w:tab w:val="clear" w:pos="1619"/>
          <w:tab w:val="num" w:pos="1903"/>
        </w:tabs>
        <w:ind w:left="1903"/>
        <w:rPr>
          <w:i/>
          <w:iCs/>
          <w:highlight w:val="yellow"/>
        </w:rPr>
      </w:pPr>
      <w:r w:rsidRPr="00FF2238">
        <w:rPr>
          <w:i/>
          <w:iCs/>
          <w:highlight w:val="yellow"/>
        </w:rPr>
        <w:t xml:space="preserve">In order to ensure UE monitors MBS broadcast correctly while configured in upper layers with MBS broadcast start times/scheduled activation times it is sufficient to capture a NOTE in the 6.2 section, e.g.: UE performs procedures to receive MBS broadcast session(s) as defined in TS 38.331 [3], if upper layer is configured the start time and/or scheduled activation time(s) (as specified in TS23.247 [21]) even if the UE operates in eDRX </w:t>
      </w:r>
    </w:p>
    <w:p w14:paraId="2F35054E" w14:textId="77777777" w:rsidR="00D10C37" w:rsidRPr="00FF2238" w:rsidRDefault="00D10C37" w:rsidP="00D10C37">
      <w:pPr>
        <w:pStyle w:val="Agreement"/>
        <w:tabs>
          <w:tab w:val="clear" w:pos="1619"/>
          <w:tab w:val="num" w:pos="1903"/>
        </w:tabs>
        <w:ind w:left="1903"/>
        <w:rPr>
          <w:i/>
          <w:iCs/>
          <w:highlight w:val="yellow"/>
        </w:rPr>
      </w:pPr>
      <w:r w:rsidRPr="00FF2238">
        <w:rPr>
          <w:i/>
          <w:iCs/>
          <w:highlight w:val="yellow"/>
        </w:rPr>
        <w:t>Post-meeting e-mail discussion to draft the CRs</w:t>
      </w:r>
    </w:p>
    <w:p w14:paraId="20195452" w14:textId="77777777" w:rsidR="00D10C37" w:rsidRPr="00D10C37" w:rsidRDefault="00D10C37" w:rsidP="00D10C37">
      <w:pPr>
        <w:pStyle w:val="Doc-text2"/>
        <w:ind w:left="284" w:firstLine="0"/>
        <w:rPr>
          <w:i/>
          <w:iCs/>
        </w:rPr>
      </w:pPr>
    </w:p>
    <w:p w14:paraId="06C49ADB" w14:textId="77777777" w:rsidR="00D10C37" w:rsidRPr="00D10C37" w:rsidRDefault="00D10C37" w:rsidP="00D10C37">
      <w:pPr>
        <w:pStyle w:val="EmailDiscussion"/>
        <w:tabs>
          <w:tab w:val="clear" w:pos="1619"/>
          <w:tab w:val="num" w:pos="1903"/>
        </w:tabs>
        <w:ind w:left="1903"/>
        <w:rPr>
          <w:i/>
          <w:iCs/>
        </w:rPr>
      </w:pPr>
      <w:r w:rsidRPr="00D10C37">
        <w:rPr>
          <w:i/>
          <w:iCs/>
        </w:rPr>
        <w:lastRenderedPageBreak/>
        <w:t>[POST125][612][TEI18] CR for MBS operation with eDRX/MICO (Nokia)</w:t>
      </w:r>
    </w:p>
    <w:p w14:paraId="3F758336" w14:textId="77777777" w:rsidR="00D10C37" w:rsidRPr="00D10C37" w:rsidRDefault="00D10C37" w:rsidP="00D10C37">
      <w:pPr>
        <w:pStyle w:val="EmailDiscussion2"/>
        <w:ind w:left="1906"/>
        <w:rPr>
          <w:i/>
          <w:iCs/>
        </w:rPr>
      </w:pPr>
      <w:r w:rsidRPr="00D10C37">
        <w:rPr>
          <w:i/>
          <w:iCs/>
        </w:rPr>
        <w:tab/>
        <w:t>Scope: Draft and review the 38.304 CR for MBS operation with eDRX/MICO according to the agreements made during the meeting.</w:t>
      </w:r>
    </w:p>
    <w:p w14:paraId="1A3780EE" w14:textId="77777777" w:rsidR="00D10C37" w:rsidRPr="00D10C37" w:rsidRDefault="00D10C37" w:rsidP="00D10C37">
      <w:pPr>
        <w:pStyle w:val="EmailDiscussion2"/>
        <w:ind w:left="1906"/>
        <w:rPr>
          <w:i/>
          <w:iCs/>
        </w:rPr>
      </w:pPr>
      <w:r w:rsidRPr="00D10C37">
        <w:rPr>
          <w:i/>
          <w:iCs/>
        </w:rPr>
        <w:tab/>
        <w:t>Intended outcome: Agreeable 38.304 CR</w:t>
      </w:r>
    </w:p>
    <w:p w14:paraId="5E59DF35" w14:textId="77777777" w:rsidR="00D10C37" w:rsidRPr="00D10C37" w:rsidRDefault="00D10C37" w:rsidP="00D10C37">
      <w:pPr>
        <w:pStyle w:val="EmailDiscussion2"/>
        <w:ind w:left="1906"/>
        <w:rPr>
          <w:i/>
          <w:iCs/>
        </w:rPr>
      </w:pPr>
      <w:r w:rsidRPr="00D10C37">
        <w:rPr>
          <w:i/>
          <w:iCs/>
        </w:rPr>
        <w:tab/>
        <w:t>Deadline:  Long</w:t>
      </w:r>
    </w:p>
    <w:p w14:paraId="1A154A7D" w14:textId="77777777" w:rsidR="00D10C37" w:rsidRPr="00D10C37" w:rsidRDefault="00D10C37" w:rsidP="00D10C37">
      <w:pPr>
        <w:ind w:left="284"/>
        <w:rPr>
          <w:i/>
          <w:iCs/>
        </w:rPr>
      </w:pPr>
    </w:p>
    <w:p w14:paraId="2BFB8095" w14:textId="77777777" w:rsidR="00381D3F" w:rsidRPr="00D10C37" w:rsidRDefault="00381D3F" w:rsidP="00D10C37">
      <w:pPr>
        <w:ind w:left="284"/>
        <w:rPr>
          <w:i/>
          <w:iCs/>
        </w:rPr>
      </w:pPr>
    </w:p>
    <w:p w14:paraId="3E069F25" w14:textId="77777777" w:rsidR="00D10C37" w:rsidRPr="00D10C37" w:rsidRDefault="00D10C37" w:rsidP="00D10C37">
      <w:pPr>
        <w:pStyle w:val="Comments"/>
        <w:ind w:left="284"/>
        <w:rPr>
          <w:iCs/>
        </w:rPr>
      </w:pPr>
      <w:r w:rsidRPr="00D10C37">
        <w:rPr>
          <w:iCs/>
        </w:rPr>
        <w:t>Long post-meeting e-mail discussions:</w:t>
      </w:r>
    </w:p>
    <w:p w14:paraId="1F141819" w14:textId="77777777" w:rsidR="00D10C37" w:rsidRPr="00D10C37" w:rsidRDefault="00D10C37" w:rsidP="00D10C37">
      <w:pPr>
        <w:pStyle w:val="EmailDiscussion"/>
        <w:tabs>
          <w:tab w:val="clear" w:pos="1619"/>
          <w:tab w:val="num" w:pos="1903"/>
        </w:tabs>
        <w:ind w:left="1903"/>
        <w:rPr>
          <w:i/>
          <w:iCs/>
        </w:rPr>
      </w:pPr>
      <w:r w:rsidRPr="00D10C37">
        <w:rPr>
          <w:i/>
          <w:iCs/>
        </w:rPr>
        <w:t>[POST125][612][TEI18] CR for MBS operation with eDRX/MICO (Nokia)</w:t>
      </w:r>
    </w:p>
    <w:p w14:paraId="60ED3FC3" w14:textId="77777777" w:rsidR="00D10C37" w:rsidRPr="00D10C37" w:rsidRDefault="00D10C37" w:rsidP="00D10C37">
      <w:pPr>
        <w:pStyle w:val="EmailDiscussion2"/>
        <w:ind w:left="1906"/>
        <w:rPr>
          <w:i/>
          <w:iCs/>
        </w:rPr>
      </w:pPr>
      <w:r w:rsidRPr="00D10C37">
        <w:rPr>
          <w:i/>
          <w:iCs/>
        </w:rPr>
        <w:tab/>
        <w:t>Scope: Draft and review the 38.304 CR for MBS operation with eDRX/MICO according to the agreements made during the meeting.</w:t>
      </w:r>
    </w:p>
    <w:p w14:paraId="08B3FD07" w14:textId="77777777" w:rsidR="00D10C37" w:rsidRPr="00D10C37" w:rsidRDefault="00D10C37" w:rsidP="00D10C37">
      <w:pPr>
        <w:pStyle w:val="EmailDiscussion2"/>
        <w:ind w:left="1906"/>
        <w:rPr>
          <w:i/>
          <w:iCs/>
        </w:rPr>
      </w:pPr>
      <w:r w:rsidRPr="00D10C37">
        <w:rPr>
          <w:i/>
          <w:iCs/>
        </w:rPr>
        <w:tab/>
        <w:t>Intended outcome: Agreeable 38.304 CR</w:t>
      </w:r>
    </w:p>
    <w:p w14:paraId="7BFE9935" w14:textId="77777777" w:rsidR="00D10C37" w:rsidRPr="00D10C37" w:rsidRDefault="00D10C37" w:rsidP="00D10C37">
      <w:pPr>
        <w:pStyle w:val="EmailDiscussion2"/>
        <w:ind w:left="1906"/>
        <w:rPr>
          <w:i/>
          <w:iCs/>
        </w:rPr>
      </w:pPr>
      <w:r w:rsidRPr="00D10C37">
        <w:rPr>
          <w:i/>
          <w:iCs/>
        </w:rPr>
        <w:tab/>
        <w:t>Deadline:  Long</w:t>
      </w:r>
    </w:p>
    <w:p w14:paraId="557C8132" w14:textId="77777777" w:rsidR="00D10C37" w:rsidRDefault="00D10C37" w:rsidP="00F520B0"/>
    <w:p w14:paraId="087FD6C7" w14:textId="39C591F3" w:rsidR="00D10C37" w:rsidRDefault="00D10C37" w:rsidP="00F520B0">
      <w:r>
        <w:t xml:space="preserve">The draft CR from the post-meeting email discussion can be found at </w:t>
      </w:r>
      <w:hyperlink r:id="rId19" w:history="1">
        <w:r>
          <w:rPr>
            <w:rStyle w:val="Hyperlink"/>
          </w:rPr>
          <w:t>https://www.3gpp.org/ftp/Email_Discussions/RAN2/%5BRAN2%23125%5D/%5BPOST125%5D%5B612%5D%5BTEI18%5D CR for MBS operation with eDRX MICO (Nokia)/R2-24xxxxx CR on MBS operation with eDRX MICO_V002_Eri.docx</w:t>
        </w:r>
      </w:hyperlink>
      <w:r>
        <w:t>.</w:t>
      </w:r>
    </w:p>
    <w:p w14:paraId="23161E19" w14:textId="77777777" w:rsidR="00D10C37" w:rsidRDefault="00D10C37" w:rsidP="00F520B0"/>
    <w:p w14:paraId="6DDEEFD1" w14:textId="15D0D449" w:rsidR="00381D3F" w:rsidRDefault="00381D3F" w:rsidP="00381D3F">
      <w:pPr>
        <w:pStyle w:val="Heading1"/>
      </w:pPr>
      <w:r>
        <w:t>Conclusions</w:t>
      </w:r>
    </w:p>
    <w:p w14:paraId="4847E0E6" w14:textId="03208338" w:rsidR="00381D3F" w:rsidRPr="00907457" w:rsidRDefault="00381D3F" w:rsidP="00907457">
      <w:pPr>
        <w:pStyle w:val="ListParagraph"/>
        <w:numPr>
          <w:ilvl w:val="0"/>
          <w:numId w:val="28"/>
        </w:numPr>
        <w:rPr>
          <w:rFonts w:ascii="Arial" w:eastAsia="DengXian" w:hAnsi="Arial"/>
          <w:i/>
          <w:iCs/>
          <w:sz w:val="28"/>
        </w:rPr>
      </w:pPr>
      <w:r>
        <w:t>The EN “</w:t>
      </w:r>
      <w:r w:rsidRPr="00907457">
        <w:t>Alignment may be needed with RAN WG(s).” in Clause 7.2.10</w:t>
      </w:r>
      <w:r w:rsidR="00907457" w:rsidRPr="00907457">
        <w:t xml:space="preserve"> </w:t>
      </w:r>
      <w:r w:rsidR="00A337D7">
        <w:t xml:space="preserve">of TS 23.247 </w:t>
      </w:r>
      <w:r w:rsidR="00907457" w:rsidRPr="00907457">
        <w:t>was not removed based on SA2 agreement, but due to an editorial mistake.</w:t>
      </w:r>
    </w:p>
    <w:p w14:paraId="660FB862" w14:textId="0F3EB866" w:rsidR="00907457" w:rsidRPr="00381D3F" w:rsidRDefault="00907457" w:rsidP="00907457">
      <w:pPr>
        <w:pStyle w:val="ListParagraph"/>
        <w:numPr>
          <w:ilvl w:val="0"/>
          <w:numId w:val="28"/>
        </w:numPr>
      </w:pPr>
      <w:r>
        <w:t>However, due to recent RAN agreements the EN is no longer required and can remain removed.</w:t>
      </w:r>
    </w:p>
    <w:bookmarkEnd w:id="1"/>
    <w:sectPr w:rsidR="00907457" w:rsidRPr="00381D3F" w:rsidSect="002E730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58083" w14:textId="77777777" w:rsidR="008153F9" w:rsidRDefault="008153F9">
      <w:r>
        <w:separator/>
      </w:r>
    </w:p>
  </w:endnote>
  <w:endnote w:type="continuationSeparator" w:id="0">
    <w:p w14:paraId="01DEC030" w14:textId="77777777" w:rsidR="008153F9" w:rsidRDefault="008153F9">
      <w:r>
        <w:continuationSeparator/>
      </w:r>
    </w:p>
  </w:endnote>
  <w:endnote w:type="continuationNotice" w:id="1">
    <w:p w14:paraId="104E1D8A" w14:textId="77777777" w:rsidR="008153F9" w:rsidRDefault="00815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33EFB" w14:textId="77777777" w:rsidR="008153F9" w:rsidRDefault="008153F9">
      <w:r>
        <w:separator/>
      </w:r>
    </w:p>
  </w:footnote>
  <w:footnote w:type="continuationSeparator" w:id="0">
    <w:p w14:paraId="448813DD" w14:textId="77777777" w:rsidR="008153F9" w:rsidRDefault="008153F9">
      <w:r>
        <w:continuationSeparator/>
      </w:r>
    </w:p>
  </w:footnote>
  <w:footnote w:type="continuationNotice" w:id="1">
    <w:p w14:paraId="3E30AEC8" w14:textId="77777777" w:rsidR="008153F9" w:rsidRDefault="00815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3FEDE359"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A337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76AFBDE"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A337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11929"/>
    <w:multiLevelType w:val="hybridMultilevel"/>
    <w:tmpl w:val="1466E7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617EC0"/>
    <w:multiLevelType w:val="hybridMultilevel"/>
    <w:tmpl w:val="DC22B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DC7337"/>
    <w:multiLevelType w:val="hybridMultilevel"/>
    <w:tmpl w:val="2DB6E974"/>
    <w:lvl w:ilvl="0" w:tplc="365CE502">
      <w:start w:val="6"/>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2" w15:restartNumberingAfterBreak="0">
    <w:nsid w:val="351E0BFA"/>
    <w:multiLevelType w:val="hybridMultilevel"/>
    <w:tmpl w:val="240AEFD6"/>
    <w:lvl w:ilvl="0" w:tplc="1E8E939A">
      <w:start w:val="1"/>
      <w:numFmt w:val="decimal"/>
      <w:lvlText w:val="%1."/>
      <w:lvlJc w:val="left"/>
      <w:pPr>
        <w:ind w:left="720" w:hanging="360"/>
      </w:pPr>
      <w:rPr>
        <w:rFonts w:ascii="Times New Roman" w:eastAsiaTheme="minorEastAsia" w:hAnsi="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5269F"/>
    <w:multiLevelType w:val="hybridMultilevel"/>
    <w:tmpl w:val="A0F2D6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8D52C3"/>
    <w:multiLevelType w:val="hybridMultilevel"/>
    <w:tmpl w:val="86503C4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146DC0"/>
    <w:multiLevelType w:val="hybridMultilevel"/>
    <w:tmpl w:val="09BCB94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70F5C44"/>
    <w:multiLevelType w:val="hybridMultilevel"/>
    <w:tmpl w:val="7C0C5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3"/>
  </w:num>
  <w:num w:numId="5" w16cid:durableId="1601789818">
    <w:abstractNumId w:val="26"/>
  </w:num>
  <w:num w:numId="6" w16cid:durableId="1535342352">
    <w:abstractNumId w:val="15"/>
  </w:num>
  <w:num w:numId="7" w16cid:durableId="823156989">
    <w:abstractNumId w:val="24"/>
  </w:num>
  <w:num w:numId="8" w16cid:durableId="1069620188">
    <w:abstractNumId w:val="8"/>
  </w:num>
  <w:num w:numId="9" w16cid:durableId="1834102117">
    <w:abstractNumId w:val="16"/>
  </w:num>
  <w:num w:numId="10" w16cid:durableId="361397286">
    <w:abstractNumId w:val="2"/>
  </w:num>
  <w:num w:numId="11" w16cid:durableId="1405683236">
    <w:abstractNumId w:val="13"/>
  </w:num>
  <w:num w:numId="12" w16cid:durableId="762531033">
    <w:abstractNumId w:val="14"/>
  </w:num>
  <w:num w:numId="13" w16cid:durableId="456408479">
    <w:abstractNumId w:val="22"/>
  </w:num>
  <w:num w:numId="14" w16cid:durableId="1075013325">
    <w:abstractNumId w:val="3"/>
  </w:num>
  <w:num w:numId="15" w16cid:durableId="517045155">
    <w:abstractNumId w:val="18"/>
  </w:num>
  <w:num w:numId="16" w16cid:durableId="325599035">
    <w:abstractNumId w:val="9"/>
  </w:num>
  <w:num w:numId="17" w16cid:durableId="1731269887">
    <w:abstractNumId w:val="20"/>
  </w:num>
  <w:num w:numId="18" w16cid:durableId="1405447025">
    <w:abstractNumId w:val="11"/>
  </w:num>
  <w:num w:numId="19" w16cid:durableId="827937900">
    <w:abstractNumId w:val="28"/>
  </w:num>
  <w:num w:numId="20" w16cid:durableId="1583760405">
    <w:abstractNumId w:val="7"/>
  </w:num>
  <w:num w:numId="21" w16cid:durableId="207224890">
    <w:abstractNumId w:val="29"/>
  </w:num>
  <w:num w:numId="22" w16cid:durableId="1806775899">
    <w:abstractNumId w:val="6"/>
  </w:num>
  <w:num w:numId="23" w16cid:durableId="1409352360">
    <w:abstractNumId w:val="19"/>
  </w:num>
  <w:num w:numId="24" w16cid:durableId="849295980">
    <w:abstractNumId w:val="4"/>
  </w:num>
  <w:num w:numId="25" w16cid:durableId="399716238">
    <w:abstractNumId w:val="10"/>
  </w:num>
  <w:num w:numId="26" w16cid:durableId="365909440">
    <w:abstractNumId w:val="21"/>
  </w:num>
  <w:num w:numId="27" w16cid:durableId="2086680637">
    <w:abstractNumId w:val="27"/>
  </w:num>
  <w:num w:numId="28" w16cid:durableId="112137440">
    <w:abstractNumId w:val="12"/>
  </w:num>
  <w:num w:numId="29" w16cid:durableId="886457269">
    <w:abstractNumId w:val="25"/>
  </w:num>
  <w:num w:numId="30" w16cid:durableId="2046296664">
    <w:abstractNumId w:val="17"/>
  </w:num>
  <w:num w:numId="31" w16cid:durableId="5313120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300CD"/>
    <w:rsid w:val="00031BBE"/>
    <w:rsid w:val="00032761"/>
    <w:rsid w:val="00033397"/>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A0614"/>
    <w:rsid w:val="000A28A6"/>
    <w:rsid w:val="000A538A"/>
    <w:rsid w:val="000A6419"/>
    <w:rsid w:val="000A67F4"/>
    <w:rsid w:val="000B781C"/>
    <w:rsid w:val="000C47C3"/>
    <w:rsid w:val="000C6B78"/>
    <w:rsid w:val="000D0501"/>
    <w:rsid w:val="000D58AB"/>
    <w:rsid w:val="000E0B36"/>
    <w:rsid w:val="000F1241"/>
    <w:rsid w:val="000F1638"/>
    <w:rsid w:val="00101F0E"/>
    <w:rsid w:val="001119F5"/>
    <w:rsid w:val="001177CE"/>
    <w:rsid w:val="00121324"/>
    <w:rsid w:val="00124D46"/>
    <w:rsid w:val="00126A62"/>
    <w:rsid w:val="001308AC"/>
    <w:rsid w:val="00132BB5"/>
    <w:rsid w:val="00132DFD"/>
    <w:rsid w:val="00133525"/>
    <w:rsid w:val="00140166"/>
    <w:rsid w:val="001422F4"/>
    <w:rsid w:val="0014494F"/>
    <w:rsid w:val="001473DC"/>
    <w:rsid w:val="00152A28"/>
    <w:rsid w:val="00152DBE"/>
    <w:rsid w:val="00160300"/>
    <w:rsid w:val="00167744"/>
    <w:rsid w:val="00183693"/>
    <w:rsid w:val="001838F1"/>
    <w:rsid w:val="0019083F"/>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4D88"/>
    <w:rsid w:val="001E7B94"/>
    <w:rsid w:val="001F0C1D"/>
    <w:rsid w:val="001F1132"/>
    <w:rsid w:val="001F168B"/>
    <w:rsid w:val="001F1C20"/>
    <w:rsid w:val="001F530A"/>
    <w:rsid w:val="001F6949"/>
    <w:rsid w:val="002041A8"/>
    <w:rsid w:val="002069C6"/>
    <w:rsid w:val="002131FE"/>
    <w:rsid w:val="00225D5D"/>
    <w:rsid w:val="002347A2"/>
    <w:rsid w:val="00260A06"/>
    <w:rsid w:val="00261539"/>
    <w:rsid w:val="00263180"/>
    <w:rsid w:val="00264103"/>
    <w:rsid w:val="002675F0"/>
    <w:rsid w:val="0027321B"/>
    <w:rsid w:val="002760EE"/>
    <w:rsid w:val="002804DD"/>
    <w:rsid w:val="00287CF7"/>
    <w:rsid w:val="002A1095"/>
    <w:rsid w:val="002A2AAF"/>
    <w:rsid w:val="002B01BE"/>
    <w:rsid w:val="002B20F7"/>
    <w:rsid w:val="002B6339"/>
    <w:rsid w:val="002C06F1"/>
    <w:rsid w:val="002C31A3"/>
    <w:rsid w:val="002C6EFE"/>
    <w:rsid w:val="002D0537"/>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555"/>
    <w:rsid w:val="00356A44"/>
    <w:rsid w:val="0035752B"/>
    <w:rsid w:val="0036019B"/>
    <w:rsid w:val="00366071"/>
    <w:rsid w:val="00374A7C"/>
    <w:rsid w:val="00374C3B"/>
    <w:rsid w:val="00375B39"/>
    <w:rsid w:val="003765B8"/>
    <w:rsid w:val="00381D3F"/>
    <w:rsid w:val="003829FA"/>
    <w:rsid w:val="003862CA"/>
    <w:rsid w:val="003B70A7"/>
    <w:rsid w:val="003C0C39"/>
    <w:rsid w:val="003C3971"/>
    <w:rsid w:val="003D408A"/>
    <w:rsid w:val="003D7A9A"/>
    <w:rsid w:val="003E24B1"/>
    <w:rsid w:val="003E5C97"/>
    <w:rsid w:val="003F0448"/>
    <w:rsid w:val="003F3E2D"/>
    <w:rsid w:val="003F62E8"/>
    <w:rsid w:val="003F68DE"/>
    <w:rsid w:val="003F7FAA"/>
    <w:rsid w:val="00405D48"/>
    <w:rsid w:val="00405F67"/>
    <w:rsid w:val="00411DC6"/>
    <w:rsid w:val="00412AC2"/>
    <w:rsid w:val="00421D41"/>
    <w:rsid w:val="00423334"/>
    <w:rsid w:val="00425EC4"/>
    <w:rsid w:val="0043294A"/>
    <w:rsid w:val="00432C6C"/>
    <w:rsid w:val="00432FCF"/>
    <w:rsid w:val="004344B4"/>
    <w:rsid w:val="004345EC"/>
    <w:rsid w:val="004404ED"/>
    <w:rsid w:val="00445111"/>
    <w:rsid w:val="00454580"/>
    <w:rsid w:val="004550DD"/>
    <w:rsid w:val="00457554"/>
    <w:rsid w:val="004602FB"/>
    <w:rsid w:val="00465515"/>
    <w:rsid w:val="00465EE6"/>
    <w:rsid w:val="004713B1"/>
    <w:rsid w:val="00473F6E"/>
    <w:rsid w:val="00480770"/>
    <w:rsid w:val="00484E49"/>
    <w:rsid w:val="0049751D"/>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12097"/>
    <w:rsid w:val="0051373C"/>
    <w:rsid w:val="005227A4"/>
    <w:rsid w:val="00524FB4"/>
    <w:rsid w:val="0053388B"/>
    <w:rsid w:val="00535098"/>
    <w:rsid w:val="00535773"/>
    <w:rsid w:val="0053710B"/>
    <w:rsid w:val="005377BD"/>
    <w:rsid w:val="00540B64"/>
    <w:rsid w:val="00543E6C"/>
    <w:rsid w:val="005474E4"/>
    <w:rsid w:val="00564B78"/>
    <w:rsid w:val="00565087"/>
    <w:rsid w:val="00575556"/>
    <w:rsid w:val="00575D2B"/>
    <w:rsid w:val="00576F7D"/>
    <w:rsid w:val="00577F82"/>
    <w:rsid w:val="00580A37"/>
    <w:rsid w:val="00586449"/>
    <w:rsid w:val="00590667"/>
    <w:rsid w:val="00597B11"/>
    <w:rsid w:val="005A1361"/>
    <w:rsid w:val="005A3FC7"/>
    <w:rsid w:val="005B30B1"/>
    <w:rsid w:val="005B758F"/>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4E9A"/>
    <w:rsid w:val="006271FA"/>
    <w:rsid w:val="00631226"/>
    <w:rsid w:val="006314F4"/>
    <w:rsid w:val="006353E1"/>
    <w:rsid w:val="0063543D"/>
    <w:rsid w:val="006419DA"/>
    <w:rsid w:val="00647114"/>
    <w:rsid w:val="00656E2F"/>
    <w:rsid w:val="00663F00"/>
    <w:rsid w:val="006704E1"/>
    <w:rsid w:val="00677384"/>
    <w:rsid w:val="00681A9E"/>
    <w:rsid w:val="006912E9"/>
    <w:rsid w:val="00697AD3"/>
    <w:rsid w:val="006A066D"/>
    <w:rsid w:val="006A1AE7"/>
    <w:rsid w:val="006A323F"/>
    <w:rsid w:val="006A56C2"/>
    <w:rsid w:val="006A70C0"/>
    <w:rsid w:val="006B2400"/>
    <w:rsid w:val="006B30D0"/>
    <w:rsid w:val="006C13CF"/>
    <w:rsid w:val="006C3808"/>
    <w:rsid w:val="006C3D95"/>
    <w:rsid w:val="006E1D0D"/>
    <w:rsid w:val="006E585A"/>
    <w:rsid w:val="006E5C86"/>
    <w:rsid w:val="006E7385"/>
    <w:rsid w:val="006F0B25"/>
    <w:rsid w:val="00701116"/>
    <w:rsid w:val="007027A5"/>
    <w:rsid w:val="0070373F"/>
    <w:rsid w:val="0071174C"/>
    <w:rsid w:val="00711A23"/>
    <w:rsid w:val="00713C44"/>
    <w:rsid w:val="007165E8"/>
    <w:rsid w:val="00717839"/>
    <w:rsid w:val="00722E8C"/>
    <w:rsid w:val="00727CB8"/>
    <w:rsid w:val="00734A5B"/>
    <w:rsid w:val="0073544B"/>
    <w:rsid w:val="00735476"/>
    <w:rsid w:val="007359BD"/>
    <w:rsid w:val="00737EA7"/>
    <w:rsid w:val="0074026F"/>
    <w:rsid w:val="007429F6"/>
    <w:rsid w:val="007440DF"/>
    <w:rsid w:val="00744E76"/>
    <w:rsid w:val="007473BA"/>
    <w:rsid w:val="00755651"/>
    <w:rsid w:val="00761FBA"/>
    <w:rsid w:val="00765E07"/>
    <w:rsid w:val="00765EA3"/>
    <w:rsid w:val="00774DA4"/>
    <w:rsid w:val="00781D17"/>
    <w:rsid w:val="00781F0F"/>
    <w:rsid w:val="00784B8A"/>
    <w:rsid w:val="007920D8"/>
    <w:rsid w:val="0079727E"/>
    <w:rsid w:val="007A57D0"/>
    <w:rsid w:val="007B10C3"/>
    <w:rsid w:val="007B343A"/>
    <w:rsid w:val="007B600E"/>
    <w:rsid w:val="007B7035"/>
    <w:rsid w:val="007C4111"/>
    <w:rsid w:val="007C7847"/>
    <w:rsid w:val="007E434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456B9"/>
    <w:rsid w:val="00846658"/>
    <w:rsid w:val="0085262D"/>
    <w:rsid w:val="00865238"/>
    <w:rsid w:val="00866C82"/>
    <w:rsid w:val="0087255D"/>
    <w:rsid w:val="008768CA"/>
    <w:rsid w:val="0088035A"/>
    <w:rsid w:val="008843FA"/>
    <w:rsid w:val="00886278"/>
    <w:rsid w:val="00886434"/>
    <w:rsid w:val="00892F21"/>
    <w:rsid w:val="008A1C9C"/>
    <w:rsid w:val="008A7E19"/>
    <w:rsid w:val="008B31C2"/>
    <w:rsid w:val="008B6695"/>
    <w:rsid w:val="008B680B"/>
    <w:rsid w:val="008C3340"/>
    <w:rsid w:val="008C384C"/>
    <w:rsid w:val="008D2E13"/>
    <w:rsid w:val="008D3074"/>
    <w:rsid w:val="008E2D68"/>
    <w:rsid w:val="008E4BAE"/>
    <w:rsid w:val="008E6756"/>
    <w:rsid w:val="008F51C0"/>
    <w:rsid w:val="008F55C9"/>
    <w:rsid w:val="00900A6F"/>
    <w:rsid w:val="00901330"/>
    <w:rsid w:val="009018F9"/>
    <w:rsid w:val="0090271F"/>
    <w:rsid w:val="00902E23"/>
    <w:rsid w:val="009043AF"/>
    <w:rsid w:val="00905190"/>
    <w:rsid w:val="00907457"/>
    <w:rsid w:val="009114D7"/>
    <w:rsid w:val="0091348E"/>
    <w:rsid w:val="00915A1C"/>
    <w:rsid w:val="00917CCB"/>
    <w:rsid w:val="00921B3A"/>
    <w:rsid w:val="00923AAD"/>
    <w:rsid w:val="009248AC"/>
    <w:rsid w:val="00926719"/>
    <w:rsid w:val="009329DB"/>
    <w:rsid w:val="00933FB0"/>
    <w:rsid w:val="00934DA1"/>
    <w:rsid w:val="00936E9B"/>
    <w:rsid w:val="00942BDD"/>
    <w:rsid w:val="00942EC2"/>
    <w:rsid w:val="0094396A"/>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33FC"/>
    <w:rsid w:val="009E1EA5"/>
    <w:rsid w:val="009E7D5D"/>
    <w:rsid w:val="009F37B7"/>
    <w:rsid w:val="00A10EA6"/>
    <w:rsid w:val="00A10F02"/>
    <w:rsid w:val="00A11E60"/>
    <w:rsid w:val="00A133BC"/>
    <w:rsid w:val="00A14016"/>
    <w:rsid w:val="00A16155"/>
    <w:rsid w:val="00A1621F"/>
    <w:rsid w:val="00A164B4"/>
    <w:rsid w:val="00A22217"/>
    <w:rsid w:val="00A24CEA"/>
    <w:rsid w:val="00A25E05"/>
    <w:rsid w:val="00A26956"/>
    <w:rsid w:val="00A27486"/>
    <w:rsid w:val="00A3055C"/>
    <w:rsid w:val="00A31CBE"/>
    <w:rsid w:val="00A337D7"/>
    <w:rsid w:val="00A35AE5"/>
    <w:rsid w:val="00A360E8"/>
    <w:rsid w:val="00A425A0"/>
    <w:rsid w:val="00A50D06"/>
    <w:rsid w:val="00A51EFA"/>
    <w:rsid w:val="00A53724"/>
    <w:rsid w:val="00A56066"/>
    <w:rsid w:val="00A56465"/>
    <w:rsid w:val="00A7112B"/>
    <w:rsid w:val="00A73129"/>
    <w:rsid w:val="00A77CB3"/>
    <w:rsid w:val="00A80902"/>
    <w:rsid w:val="00A82346"/>
    <w:rsid w:val="00A8420C"/>
    <w:rsid w:val="00A92BA1"/>
    <w:rsid w:val="00A95A32"/>
    <w:rsid w:val="00A97D9F"/>
    <w:rsid w:val="00AA76A9"/>
    <w:rsid w:val="00AB1C35"/>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42338"/>
    <w:rsid w:val="00B45E6B"/>
    <w:rsid w:val="00B5477F"/>
    <w:rsid w:val="00B55B49"/>
    <w:rsid w:val="00B64293"/>
    <w:rsid w:val="00B70EE0"/>
    <w:rsid w:val="00B730FE"/>
    <w:rsid w:val="00B76FCF"/>
    <w:rsid w:val="00B817CE"/>
    <w:rsid w:val="00B86DD4"/>
    <w:rsid w:val="00B93086"/>
    <w:rsid w:val="00BA19ED"/>
    <w:rsid w:val="00BA2659"/>
    <w:rsid w:val="00BA4B8D"/>
    <w:rsid w:val="00BB25CD"/>
    <w:rsid w:val="00BB3015"/>
    <w:rsid w:val="00BB68DF"/>
    <w:rsid w:val="00BC0F7D"/>
    <w:rsid w:val="00BD7D31"/>
    <w:rsid w:val="00BE3255"/>
    <w:rsid w:val="00BF128E"/>
    <w:rsid w:val="00C01BFF"/>
    <w:rsid w:val="00C026AC"/>
    <w:rsid w:val="00C074DD"/>
    <w:rsid w:val="00C13AD3"/>
    <w:rsid w:val="00C1496A"/>
    <w:rsid w:val="00C15BBA"/>
    <w:rsid w:val="00C15F0C"/>
    <w:rsid w:val="00C17549"/>
    <w:rsid w:val="00C22B28"/>
    <w:rsid w:val="00C2353D"/>
    <w:rsid w:val="00C240EC"/>
    <w:rsid w:val="00C2612F"/>
    <w:rsid w:val="00C32DC0"/>
    <w:rsid w:val="00C33079"/>
    <w:rsid w:val="00C338E6"/>
    <w:rsid w:val="00C427B4"/>
    <w:rsid w:val="00C4468C"/>
    <w:rsid w:val="00C45231"/>
    <w:rsid w:val="00C51921"/>
    <w:rsid w:val="00C5269C"/>
    <w:rsid w:val="00C551FF"/>
    <w:rsid w:val="00C55517"/>
    <w:rsid w:val="00C5692B"/>
    <w:rsid w:val="00C657BF"/>
    <w:rsid w:val="00C72833"/>
    <w:rsid w:val="00C758F2"/>
    <w:rsid w:val="00C762D2"/>
    <w:rsid w:val="00C8056A"/>
    <w:rsid w:val="00C80F1D"/>
    <w:rsid w:val="00C83A46"/>
    <w:rsid w:val="00C91962"/>
    <w:rsid w:val="00C92D34"/>
    <w:rsid w:val="00C935C7"/>
    <w:rsid w:val="00C93F40"/>
    <w:rsid w:val="00CA2FDD"/>
    <w:rsid w:val="00CA3D0C"/>
    <w:rsid w:val="00CA4ACB"/>
    <w:rsid w:val="00CA58B4"/>
    <w:rsid w:val="00CB22B7"/>
    <w:rsid w:val="00CC1131"/>
    <w:rsid w:val="00CC2F96"/>
    <w:rsid w:val="00CC5890"/>
    <w:rsid w:val="00CC7251"/>
    <w:rsid w:val="00CD0A63"/>
    <w:rsid w:val="00CD24B1"/>
    <w:rsid w:val="00CE04D0"/>
    <w:rsid w:val="00CE1C05"/>
    <w:rsid w:val="00CE3C1A"/>
    <w:rsid w:val="00CE4C73"/>
    <w:rsid w:val="00CE7A26"/>
    <w:rsid w:val="00CF098F"/>
    <w:rsid w:val="00D05375"/>
    <w:rsid w:val="00D066B1"/>
    <w:rsid w:val="00D10007"/>
    <w:rsid w:val="00D10C37"/>
    <w:rsid w:val="00D12335"/>
    <w:rsid w:val="00D34633"/>
    <w:rsid w:val="00D45A36"/>
    <w:rsid w:val="00D46998"/>
    <w:rsid w:val="00D52DB6"/>
    <w:rsid w:val="00D57972"/>
    <w:rsid w:val="00D57D90"/>
    <w:rsid w:val="00D601F2"/>
    <w:rsid w:val="00D610A3"/>
    <w:rsid w:val="00D63999"/>
    <w:rsid w:val="00D675A9"/>
    <w:rsid w:val="00D738D6"/>
    <w:rsid w:val="00D746C8"/>
    <w:rsid w:val="00D74F7C"/>
    <w:rsid w:val="00D755EB"/>
    <w:rsid w:val="00D75D35"/>
    <w:rsid w:val="00D76048"/>
    <w:rsid w:val="00D81332"/>
    <w:rsid w:val="00D82E6F"/>
    <w:rsid w:val="00D87E00"/>
    <w:rsid w:val="00D90E22"/>
    <w:rsid w:val="00D9134D"/>
    <w:rsid w:val="00D931A7"/>
    <w:rsid w:val="00DA7A03"/>
    <w:rsid w:val="00DB1818"/>
    <w:rsid w:val="00DB7011"/>
    <w:rsid w:val="00DC309B"/>
    <w:rsid w:val="00DC4DA2"/>
    <w:rsid w:val="00DD21C9"/>
    <w:rsid w:val="00DD4C17"/>
    <w:rsid w:val="00DD74A5"/>
    <w:rsid w:val="00DD76A1"/>
    <w:rsid w:val="00DF2176"/>
    <w:rsid w:val="00DF265F"/>
    <w:rsid w:val="00DF2B1F"/>
    <w:rsid w:val="00DF53CC"/>
    <w:rsid w:val="00DF62CD"/>
    <w:rsid w:val="00E009D9"/>
    <w:rsid w:val="00E04D74"/>
    <w:rsid w:val="00E066AA"/>
    <w:rsid w:val="00E079E8"/>
    <w:rsid w:val="00E13616"/>
    <w:rsid w:val="00E163BE"/>
    <w:rsid w:val="00E16509"/>
    <w:rsid w:val="00E23323"/>
    <w:rsid w:val="00E25A79"/>
    <w:rsid w:val="00E269DF"/>
    <w:rsid w:val="00E42506"/>
    <w:rsid w:val="00E44582"/>
    <w:rsid w:val="00E448C1"/>
    <w:rsid w:val="00E46AB9"/>
    <w:rsid w:val="00E63060"/>
    <w:rsid w:val="00E7583C"/>
    <w:rsid w:val="00E76832"/>
    <w:rsid w:val="00E77645"/>
    <w:rsid w:val="00E80788"/>
    <w:rsid w:val="00E8717F"/>
    <w:rsid w:val="00E97BC5"/>
    <w:rsid w:val="00EA15B0"/>
    <w:rsid w:val="00EA3757"/>
    <w:rsid w:val="00EA391E"/>
    <w:rsid w:val="00EA396D"/>
    <w:rsid w:val="00EA5EA7"/>
    <w:rsid w:val="00EB5E3B"/>
    <w:rsid w:val="00EC070F"/>
    <w:rsid w:val="00EC4A25"/>
    <w:rsid w:val="00EC4E18"/>
    <w:rsid w:val="00EC4FEC"/>
    <w:rsid w:val="00EE4567"/>
    <w:rsid w:val="00EE7A04"/>
    <w:rsid w:val="00EE7C81"/>
    <w:rsid w:val="00EF049B"/>
    <w:rsid w:val="00EF207F"/>
    <w:rsid w:val="00EF608C"/>
    <w:rsid w:val="00F00927"/>
    <w:rsid w:val="00F00A18"/>
    <w:rsid w:val="00F02595"/>
    <w:rsid w:val="00F025A2"/>
    <w:rsid w:val="00F04712"/>
    <w:rsid w:val="00F13360"/>
    <w:rsid w:val="00F1535D"/>
    <w:rsid w:val="00F22EC7"/>
    <w:rsid w:val="00F265A6"/>
    <w:rsid w:val="00F26F03"/>
    <w:rsid w:val="00F2776E"/>
    <w:rsid w:val="00F320DC"/>
    <w:rsid w:val="00F325C8"/>
    <w:rsid w:val="00F349FD"/>
    <w:rsid w:val="00F34BBE"/>
    <w:rsid w:val="00F50000"/>
    <w:rsid w:val="00F50CB8"/>
    <w:rsid w:val="00F520B0"/>
    <w:rsid w:val="00F544A8"/>
    <w:rsid w:val="00F653B8"/>
    <w:rsid w:val="00F6790C"/>
    <w:rsid w:val="00F76955"/>
    <w:rsid w:val="00F77E67"/>
    <w:rsid w:val="00F805DC"/>
    <w:rsid w:val="00F80E37"/>
    <w:rsid w:val="00F826E9"/>
    <w:rsid w:val="00F83706"/>
    <w:rsid w:val="00F9008D"/>
    <w:rsid w:val="00F91310"/>
    <w:rsid w:val="00F937BE"/>
    <w:rsid w:val="00F97D0E"/>
    <w:rsid w:val="00FA1266"/>
    <w:rsid w:val="00FA264B"/>
    <w:rsid w:val="00FA5054"/>
    <w:rsid w:val="00FA5AC8"/>
    <w:rsid w:val="00FB0C5E"/>
    <w:rsid w:val="00FB3827"/>
    <w:rsid w:val="00FB7D16"/>
    <w:rsid w:val="00FC1192"/>
    <w:rsid w:val="00FC6F6D"/>
    <w:rsid w:val="00FD2B7D"/>
    <w:rsid w:val="00FE0920"/>
    <w:rsid w:val="00FE1D4B"/>
    <w:rsid w:val="00FE1DE2"/>
    <w:rsid w:val="00FE7065"/>
    <w:rsid w:val="00FF2238"/>
    <w:rsid w:val="00FF3149"/>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73C"/>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character" w:customStyle="1" w:styleId="1">
    <w:name w:val="样式1 字符"/>
    <w:basedOn w:val="DefaultParagraphFont"/>
    <w:link w:val="10"/>
    <w:locked/>
    <w:rsid w:val="002D0537"/>
    <w:rPr>
      <w:rFonts w:ascii="Arial" w:eastAsiaTheme="majorEastAsia" w:hAnsi="Arial" w:cs="Arial"/>
      <w:b/>
      <w:bCs/>
      <w:color w:val="0000FF"/>
      <w:sz w:val="28"/>
      <w:szCs w:val="28"/>
      <w:lang w:eastAsia="en-US"/>
    </w:rPr>
  </w:style>
  <w:style w:type="paragraph" w:customStyle="1" w:styleId="10">
    <w:name w:val="样式1"/>
    <w:basedOn w:val="Title"/>
    <w:link w:val="1"/>
    <w:qFormat/>
    <w:rsid w:val="002D053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2D05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D0537"/>
    <w:rPr>
      <w:rFonts w:asciiTheme="majorHAnsi" w:eastAsiaTheme="majorEastAsia" w:hAnsiTheme="majorHAnsi" w:cstheme="majorBidi"/>
      <w:spacing w:val="-10"/>
      <w:kern w:val="28"/>
      <w:sz w:val="56"/>
      <w:szCs w:val="56"/>
      <w:lang w:eastAsia="en-US"/>
    </w:rPr>
  </w:style>
  <w:style w:type="paragraph" w:customStyle="1" w:styleId="Doc-title">
    <w:name w:val="Doc-title"/>
    <w:basedOn w:val="Normal"/>
    <w:next w:val="Doc-text2"/>
    <w:link w:val="Doc-titleChar"/>
    <w:qFormat/>
    <w:rsid w:val="00D10C3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locked/>
    <w:rsid w:val="00D10C37"/>
    <w:rPr>
      <w:rFonts w:ascii="Arial" w:eastAsia="MS Mincho" w:hAnsi="Arial"/>
      <w:noProof/>
      <w:szCs w:val="24"/>
    </w:rPr>
  </w:style>
  <w:style w:type="paragraph" w:customStyle="1" w:styleId="Doc-text2">
    <w:name w:val="Doc-text2"/>
    <w:basedOn w:val="Normal"/>
    <w:link w:val="Doc-text2Char"/>
    <w:qFormat/>
    <w:rsid w:val="00D10C3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locked/>
    <w:rsid w:val="00D10C37"/>
    <w:rPr>
      <w:rFonts w:ascii="Arial" w:eastAsia="MS Mincho" w:hAnsi="Arial"/>
      <w:szCs w:val="24"/>
    </w:rPr>
  </w:style>
  <w:style w:type="character" w:customStyle="1" w:styleId="CommentsChar">
    <w:name w:val="Comments Char"/>
    <w:link w:val="Comments"/>
    <w:qFormat/>
    <w:locked/>
    <w:rsid w:val="00D10C37"/>
    <w:rPr>
      <w:rFonts w:ascii="Arial" w:eastAsia="MS Mincho" w:hAnsi="Arial" w:cs="Arial"/>
      <w:i/>
      <w:noProof/>
      <w:sz w:val="18"/>
      <w:szCs w:val="24"/>
    </w:rPr>
  </w:style>
  <w:style w:type="paragraph" w:customStyle="1" w:styleId="Comments">
    <w:name w:val="Comments"/>
    <w:basedOn w:val="Normal"/>
    <w:link w:val="CommentsChar"/>
    <w:qFormat/>
    <w:rsid w:val="00D10C37"/>
    <w:pPr>
      <w:spacing w:before="40" w:after="0"/>
    </w:pPr>
    <w:rPr>
      <w:rFonts w:ascii="Arial" w:eastAsia="MS Mincho" w:hAnsi="Arial" w:cs="Arial"/>
      <w:i/>
      <w:noProof/>
      <w:sz w:val="18"/>
      <w:szCs w:val="24"/>
      <w:lang w:eastAsia="en-GB"/>
    </w:rPr>
  </w:style>
  <w:style w:type="paragraph" w:customStyle="1" w:styleId="Agreement">
    <w:name w:val="Agreement"/>
    <w:basedOn w:val="Normal"/>
    <w:next w:val="Doc-text2"/>
    <w:uiPriority w:val="99"/>
    <w:qFormat/>
    <w:rsid w:val="00D10C37"/>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D10C37"/>
    <w:rPr>
      <w:rFonts w:ascii="Arial" w:eastAsia="MS Mincho" w:hAnsi="Arial" w:cs="Arial"/>
      <w:b/>
      <w:szCs w:val="24"/>
    </w:rPr>
  </w:style>
  <w:style w:type="paragraph" w:customStyle="1" w:styleId="EmailDiscussion2">
    <w:name w:val="EmailDiscussion2"/>
    <w:basedOn w:val="Doc-text2"/>
    <w:uiPriority w:val="99"/>
    <w:qFormat/>
    <w:rsid w:val="00D10C37"/>
  </w:style>
  <w:style w:type="paragraph" w:customStyle="1" w:styleId="EmailDiscussion">
    <w:name w:val="EmailDiscussion"/>
    <w:basedOn w:val="Normal"/>
    <w:next w:val="EmailDiscussion2"/>
    <w:link w:val="EmailDiscussionChar"/>
    <w:qFormat/>
    <w:rsid w:val="00D10C37"/>
    <w:pPr>
      <w:numPr>
        <w:numId w:val="30"/>
      </w:numPr>
      <w:spacing w:before="40" w:after="0"/>
    </w:pPr>
    <w:rPr>
      <w:rFonts w:ascii="Arial" w:eastAsia="MS Mincho" w:hAnsi="Arial" w:cs="Arial"/>
      <w:b/>
      <w:szCs w:val="24"/>
      <w:lang w:eastAsia="en-GB"/>
    </w:rPr>
  </w:style>
  <w:style w:type="character" w:styleId="UnresolvedMention">
    <w:name w:val="Unresolved Mention"/>
    <w:basedOn w:val="DefaultParagraphFont"/>
    <w:uiPriority w:val="99"/>
    <w:semiHidden/>
    <w:unhideWhenUsed/>
    <w:rsid w:val="00D10C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56146">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00684753">
      <w:bodyDiv w:val="1"/>
      <w:marLeft w:val="0"/>
      <w:marRight w:val="0"/>
      <w:marTop w:val="0"/>
      <w:marBottom w:val="0"/>
      <w:divBdr>
        <w:top w:val="none" w:sz="0" w:space="0" w:color="auto"/>
        <w:left w:val="none" w:sz="0" w:space="0" w:color="auto"/>
        <w:bottom w:val="none" w:sz="0" w:space="0" w:color="auto"/>
        <w:right w:val="none" w:sz="0" w:space="0" w:color="auto"/>
      </w:divBdr>
    </w:div>
    <w:div w:id="1405834874">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60AHE_Electronic_2024-01/Docs/S2-2400841.zip" TargetMode="External"/><Relationship Id="rId18" Type="http://schemas.openxmlformats.org/officeDocument/2006/relationships/hyperlink" Target="file:///D:\3GPP\Extracts\R2-2401354%20MBS%20multicast%20with%20eDRX%20and%20MICO%20mode.docx"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3GPP\Extracts\R2-2401174%20eDRX%20and%20MICO%20handling.docx" TargetMode="External"/><Relationship Id="rId2" Type="http://schemas.openxmlformats.org/officeDocument/2006/relationships/customXml" Target="../customXml/item2.xml"/><Relationship Id="rId16" Type="http://schemas.openxmlformats.org/officeDocument/2006/relationships/hyperlink" Target="file:///D:\3GPP\TSGR2\TSGR2_125\docs\R2-2400006.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5/Docs/R2-2401546.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Email_Discussions/RAN2/%5BRAN2%23125%5D/%5BPOST125%5D%5B612%5D%5BTEI18%5D%20CR%20for%20MBS%20operation%20with%20eDRX%20MICO%20(Nokia)/R2-24xxxxx%20CR%20on%20MBS%20operation%20with%20eDRX%20MICO_V002_Eri.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60AHE_Electronic_2024-01/Docs/S2-240151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RBI5PAMIO524-1616901215-18047</_dlc_DocId>
    <_dlc_DocIdUrl xmlns="71c5aaf6-e6ce-465b-b873-5148d2a4c105">
      <Url>https://nokia.sharepoint.com/sites/gxp/_layouts/15/DocIdRedir.aspx?ID=RBI5PAMIO524-1616901215-18047</Url>
      <Description>RBI5PAMIO524-1616901215-18047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28F460-6945-40FD-8114-7BA27200141C}">
  <ds:schemaRefs>
    <ds:schemaRef ds:uri="Microsoft.SharePoint.Taxonomy.ContentTypeSync"/>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3CC421AF-6641-42CA-8E4D-07C68590A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3</Pages>
  <Words>918</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r0</cp:lastModifiedBy>
  <cp:revision>7</cp:revision>
  <cp:lastPrinted>2019-02-25T14:05:00Z</cp:lastPrinted>
  <dcterms:created xsi:type="dcterms:W3CDTF">2024-04-03T16:28:00Z</dcterms:created>
  <dcterms:modified xsi:type="dcterms:W3CDTF">2024-04-05T20:08:00Z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502cd496-297d-4c79-afbc-fc38767e0b04</vt:lpwstr>
  </property>
  <property fmtid="{D5CDD505-2E9C-101B-9397-08002B2CF9AE}" pid="4" name="MediaServiceImageTags">
    <vt:lpwstr/>
  </property>
</Properties>
</file>